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5306" w14:textId="1576B9A3" w:rsidR="00D32538" w:rsidRPr="00D32538" w:rsidRDefault="00D32538" w:rsidP="00D32538">
      <w:pPr>
        <w:spacing w:after="0" w:line="240" w:lineRule="auto"/>
        <w:jc w:val="center"/>
        <w:rPr>
          <w:rFonts w:ascii="Open Sans" w:eastAsia="Times New Roman" w:hAnsi="Open Sans" w:cs="Open Sans"/>
          <w:sz w:val="28"/>
          <w:szCs w:val="28"/>
        </w:rPr>
      </w:pPr>
      <w:r w:rsidRPr="00D32538">
        <w:rPr>
          <w:rFonts w:ascii="Open Sans" w:eastAsia="Times New Roman" w:hAnsi="Open Sans" w:cs="Open Sans"/>
          <w:sz w:val="28"/>
          <w:szCs w:val="28"/>
        </w:rPr>
        <w:fldChar w:fldCharType="begin"/>
      </w:r>
      <w:r w:rsidRPr="00D32538">
        <w:rPr>
          <w:rFonts w:ascii="Open Sans" w:eastAsia="Times New Roman" w:hAnsi="Open Sans" w:cs="Open Sans"/>
          <w:sz w:val="28"/>
          <w:szCs w:val="28"/>
        </w:rPr>
        <w:instrText xml:space="preserve"> HYPERLINK "https://acs.digitellinc.com/acs/live/22/page/677/3?eventSearchInput=&amp;eventSearchDateTimeStart=&amp;eventSearchDateTimeEnd=&amp;eventSearchTrack%5b%5d=201" \l "sessionCollapse393956" </w:instrText>
      </w:r>
      <w:r w:rsidRPr="00D32538">
        <w:rPr>
          <w:rFonts w:ascii="Open Sans" w:eastAsia="Times New Roman" w:hAnsi="Open Sans" w:cs="Open Sans"/>
          <w:sz w:val="28"/>
          <w:szCs w:val="28"/>
        </w:rPr>
        <w:fldChar w:fldCharType="separate"/>
      </w:r>
      <w:r w:rsidRPr="00D32538">
        <w:rPr>
          <w:rFonts w:ascii="Open Sans" w:eastAsia="Times New Roman" w:hAnsi="Open Sans" w:cs="Open Sans"/>
          <w:b/>
          <w:bCs/>
          <w:sz w:val="28"/>
          <w:szCs w:val="28"/>
        </w:rPr>
        <w:t>Design and synthesis of mixed-graft block copolymers for the next generation multifunctional materials</w:t>
      </w:r>
      <w:r w:rsidRPr="00D32538">
        <w:rPr>
          <w:rFonts w:ascii="Open Sans" w:eastAsia="Times New Roman" w:hAnsi="Open Sans" w:cs="Open Sans"/>
          <w:sz w:val="28"/>
          <w:szCs w:val="28"/>
        </w:rPr>
        <w:fldChar w:fldCharType="end"/>
      </w:r>
    </w:p>
    <w:p w14:paraId="28EE1D15" w14:textId="3869E679" w:rsidR="00D32538" w:rsidRPr="00D32538" w:rsidRDefault="00D32538" w:rsidP="00D32538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4"/>
          <w:szCs w:val="24"/>
        </w:rPr>
      </w:pPr>
      <w:hyperlink r:id="rId4" w:history="1">
        <w:proofErr w:type="spellStart"/>
        <w:r w:rsidRPr="00D32538">
          <w:rPr>
            <w:rFonts w:ascii="Open Sans" w:eastAsia="Times New Roman" w:hAnsi="Open Sans" w:cs="Open Sans"/>
            <w:i/>
            <w:iCs/>
            <w:sz w:val="24"/>
            <w:szCs w:val="24"/>
          </w:rPr>
          <w:t>Ruiqi</w:t>
        </w:r>
        <w:proofErr w:type="spellEnd"/>
        <w:r w:rsidRPr="00D32538">
          <w:rPr>
            <w:rFonts w:ascii="Open Sans" w:eastAsia="Times New Roman" w:hAnsi="Open Sans" w:cs="Open Sans"/>
            <w:i/>
            <w:iCs/>
            <w:sz w:val="24"/>
            <w:szCs w:val="24"/>
          </w:rPr>
          <w:t xml:space="preserve"> Liang</w:t>
        </w:r>
      </w:hyperlink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t xml:space="preserve"> and</w:t>
      </w:r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t> </w:t>
      </w:r>
      <w:proofErr w:type="spellStart"/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fldChar w:fldCharType="begin"/>
      </w:r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instrText xml:space="preserve"> HYPERLINK "https://acs.digitellinc.com/acs/live/22/page/677/3?eventSearchInput=&amp;eventSearchDateTimeStart=&amp;eventSearchDateTimeEnd=&amp;eventSearchTrack%5b%5d=201" </w:instrText>
      </w:r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fldChar w:fldCharType="separate"/>
      </w:r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t>Mingjiang</w:t>
      </w:r>
      <w:proofErr w:type="spellEnd"/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t xml:space="preserve"> Zhong</w:t>
      </w:r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fldChar w:fldCharType="end"/>
      </w:r>
    </w:p>
    <w:p w14:paraId="5BBCB399" w14:textId="3DF4C38F" w:rsidR="00D32538" w:rsidRPr="00D32538" w:rsidRDefault="00D32538" w:rsidP="00D32538">
      <w:pPr>
        <w:spacing w:after="0" w:line="240" w:lineRule="auto"/>
        <w:jc w:val="center"/>
        <w:rPr>
          <w:rFonts w:ascii="Open Sans" w:eastAsia="Times New Roman" w:hAnsi="Open Sans" w:cs="Open Sans"/>
          <w:i/>
          <w:iCs/>
          <w:sz w:val="24"/>
          <w:szCs w:val="24"/>
        </w:rPr>
      </w:pPr>
      <w:r w:rsidRPr="00D32538">
        <w:rPr>
          <w:rFonts w:ascii="Open Sans" w:eastAsia="Times New Roman" w:hAnsi="Open Sans" w:cs="Open Sans"/>
          <w:i/>
          <w:iCs/>
          <w:sz w:val="24"/>
          <w:szCs w:val="24"/>
        </w:rPr>
        <w:t>Yale University</w:t>
      </w:r>
    </w:p>
    <w:p w14:paraId="71FF25AE" w14:textId="77777777" w:rsidR="00D32538" w:rsidRPr="00D32538" w:rsidRDefault="00D32538" w:rsidP="00D32538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7142EBCA" w14:textId="45F87287" w:rsidR="00D32538" w:rsidRPr="00D32538" w:rsidRDefault="00D32538" w:rsidP="00D3253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32538">
        <w:rPr>
          <w:rFonts w:ascii="Open Sans" w:eastAsia="Times New Roman" w:hAnsi="Open Sans" w:cs="Open Sans"/>
          <w:sz w:val="21"/>
          <w:szCs w:val="21"/>
        </w:rPr>
        <w:t>Bottom-up self-assembly of molecular building blocks to form hierarchical nanostructures across a broad range of length scales holds great promise for the synthesis of next-generation multi-functional materials. In this presentation, a synthetic platform for the preparation of multi-component graft block copolymers (GBCPs) as compositionally anisotropic molecular building blocks will be introduced for hierarchical self-assembly. For instance, a series of (A-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</w:t>
      </w:r>
      <w:proofErr w:type="gramStart"/>
      <w:r w:rsidRPr="00D32538">
        <w:rPr>
          <w:rFonts w:ascii="Open Sans" w:eastAsia="Times New Roman" w:hAnsi="Open Sans" w:cs="Open Sans"/>
          <w:sz w:val="21"/>
          <w:szCs w:val="21"/>
        </w:rPr>
        <w:t>B)</w:t>
      </w:r>
      <w:r w:rsidRPr="00D32538">
        <w:rPr>
          <w:rFonts w:ascii="Open Sans" w:eastAsia="Times New Roman" w:hAnsi="Open Sans" w:cs="Open Sans"/>
          <w:i/>
          <w:iCs/>
          <w:sz w:val="16"/>
          <w:szCs w:val="16"/>
          <w:vertAlign w:val="subscript"/>
        </w:rPr>
        <w:t>n</w:t>
      </w:r>
      <w:proofErr w:type="gramEnd"/>
      <w:r w:rsidRPr="00D32538">
        <w:rPr>
          <w:rFonts w:ascii="Open Sans" w:eastAsia="Times New Roman" w:hAnsi="Open Sans" w:cs="Open Sans"/>
          <w:sz w:val="21"/>
          <w:szCs w:val="21"/>
        </w:rPr>
        <w:t>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block</w:t>
      </w:r>
      <w:r w:rsidRPr="00D32538">
        <w:rPr>
          <w:rFonts w:ascii="Open Sans" w:eastAsia="Times New Roman" w:hAnsi="Open Sans" w:cs="Open Sans"/>
          <w:sz w:val="21"/>
          <w:szCs w:val="21"/>
        </w:rPr>
        <w:t>-C</w:t>
      </w:r>
      <w:r w:rsidRPr="00D32538">
        <w:rPr>
          <w:rFonts w:ascii="Open Sans" w:eastAsia="Times New Roman" w:hAnsi="Open Sans" w:cs="Open Sans"/>
          <w:i/>
          <w:iCs/>
          <w:sz w:val="16"/>
          <w:szCs w:val="16"/>
          <w:vertAlign w:val="subscript"/>
        </w:rPr>
        <w:t>m</w:t>
      </w:r>
      <w:r w:rsidRPr="00D32538">
        <w:rPr>
          <w:rFonts w:ascii="Open Sans" w:eastAsia="Times New Roman" w:hAnsi="Open Sans" w:cs="Open Sans"/>
          <w:sz w:val="21"/>
          <w:szCs w:val="21"/>
        </w:rPr>
        <w:t> GBCPs were synthesized by sequential ring-opening metathesis polymerization of “A-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-B” and “C” macromonomers (MMs), where “A-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-B” represents a branched MM containing a polymerizable norbornene group tethered with both A and B polymer chains. The chemical incompatibility of A and B side chains results in intramolecular phase separation, creating a pre-organized interface of A- and B-rich substructure with an interface normal to the backbone. The C-grafted block forms a superstructure with the A/B-grafted block with a spatial periodicity determined by the characteristic length of the backbone. Four distinct hierarchical morphologies including lamellae-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in</w:t>
      </w:r>
      <w:r w:rsidRPr="00D32538">
        <w:rPr>
          <w:rFonts w:ascii="Open Sans" w:eastAsia="Times New Roman" w:hAnsi="Open Sans" w:cs="Open Sans"/>
          <w:sz w:val="21"/>
          <w:szCs w:val="21"/>
        </w:rPr>
        <w:t>-lamellae, lamellae-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in</w:t>
      </w:r>
      <w:r w:rsidRPr="00D32538">
        <w:rPr>
          <w:rFonts w:ascii="Open Sans" w:eastAsia="Times New Roman" w:hAnsi="Open Sans" w:cs="Open Sans"/>
          <w:sz w:val="21"/>
          <w:szCs w:val="21"/>
        </w:rPr>
        <w:t>-cylinders, cylinders-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in</w:t>
      </w:r>
      <w:r w:rsidRPr="00D32538">
        <w:rPr>
          <w:rFonts w:ascii="Open Sans" w:eastAsia="Times New Roman" w:hAnsi="Open Sans" w:cs="Open Sans"/>
          <w:sz w:val="21"/>
          <w:szCs w:val="21"/>
        </w:rPr>
        <w:t>-lamellae, and cylinders-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in</w:t>
      </w:r>
      <w:r w:rsidRPr="00D32538">
        <w:rPr>
          <w:rFonts w:ascii="Open Sans" w:eastAsia="Times New Roman" w:hAnsi="Open Sans" w:cs="Open Sans"/>
          <w:sz w:val="21"/>
          <w:szCs w:val="21"/>
        </w:rPr>
        <w:t>-cylinders were readily prepared by varying the lengths of the backbone or side chains. The impact of composition, molecular dimension, and environment on the resulting super- and substructures was studied by X-ray scattering and electron microscopy. (A-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</w:t>
      </w:r>
      <w:proofErr w:type="gramStart"/>
      <w:r w:rsidRPr="00D32538">
        <w:rPr>
          <w:rFonts w:ascii="Open Sans" w:eastAsia="Times New Roman" w:hAnsi="Open Sans" w:cs="Open Sans"/>
          <w:sz w:val="21"/>
          <w:szCs w:val="21"/>
        </w:rPr>
        <w:t>B)</w:t>
      </w:r>
      <w:r w:rsidRPr="00D32538">
        <w:rPr>
          <w:rFonts w:ascii="Open Sans" w:eastAsia="Times New Roman" w:hAnsi="Open Sans" w:cs="Open Sans"/>
          <w:i/>
          <w:iCs/>
          <w:sz w:val="16"/>
          <w:szCs w:val="16"/>
          <w:vertAlign w:val="subscript"/>
        </w:rPr>
        <w:t>n</w:t>
      </w:r>
      <w:proofErr w:type="gramEnd"/>
      <w:r w:rsidRPr="00D32538">
        <w:rPr>
          <w:rFonts w:ascii="Open Sans" w:eastAsia="Times New Roman" w:hAnsi="Open Sans" w:cs="Open Sans"/>
          <w:sz w:val="21"/>
          <w:szCs w:val="21"/>
        </w:rPr>
        <w:t>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block</w:t>
      </w:r>
      <w:r w:rsidRPr="00D32538">
        <w:rPr>
          <w:rFonts w:ascii="Open Sans" w:eastAsia="Times New Roman" w:hAnsi="Open Sans" w:cs="Open Sans"/>
          <w:sz w:val="21"/>
          <w:szCs w:val="21"/>
        </w:rPr>
        <w:t>-(A-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-C)</w:t>
      </w:r>
      <w:r w:rsidRPr="00D32538">
        <w:rPr>
          <w:rFonts w:ascii="Open Sans" w:eastAsia="Times New Roman" w:hAnsi="Open Sans" w:cs="Open Sans"/>
          <w:i/>
          <w:iCs/>
          <w:sz w:val="16"/>
          <w:szCs w:val="16"/>
          <w:vertAlign w:val="subscript"/>
        </w:rPr>
        <w:t>m </w:t>
      </w:r>
      <w:r w:rsidRPr="00D32538">
        <w:rPr>
          <w:rFonts w:ascii="Open Sans" w:eastAsia="Times New Roman" w:hAnsi="Open Sans" w:cs="Open Sans"/>
          <w:sz w:val="21"/>
          <w:szCs w:val="21"/>
        </w:rPr>
        <w:t>and (A-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-B)</w:t>
      </w:r>
      <w:r w:rsidRPr="00D32538">
        <w:rPr>
          <w:rFonts w:ascii="Open Sans" w:eastAsia="Times New Roman" w:hAnsi="Open Sans" w:cs="Open Sans"/>
          <w:i/>
          <w:iCs/>
          <w:sz w:val="16"/>
          <w:szCs w:val="16"/>
          <w:vertAlign w:val="subscript"/>
        </w:rPr>
        <w:t>n</w:t>
      </w:r>
      <w:r w:rsidRPr="00D32538">
        <w:rPr>
          <w:rFonts w:ascii="Open Sans" w:eastAsia="Times New Roman" w:hAnsi="Open Sans" w:cs="Open Sans"/>
          <w:sz w:val="21"/>
          <w:szCs w:val="21"/>
        </w:rPr>
        <w:t>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block</w:t>
      </w:r>
      <w:r w:rsidRPr="00D32538">
        <w:rPr>
          <w:rFonts w:ascii="Open Sans" w:eastAsia="Times New Roman" w:hAnsi="Open Sans" w:cs="Open Sans"/>
          <w:sz w:val="21"/>
          <w:szCs w:val="21"/>
        </w:rPr>
        <w:t>-(C-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-D)</w:t>
      </w:r>
      <w:r w:rsidRPr="00D32538">
        <w:rPr>
          <w:rFonts w:ascii="Open Sans" w:eastAsia="Times New Roman" w:hAnsi="Open Sans" w:cs="Open Sans"/>
          <w:i/>
          <w:iCs/>
          <w:sz w:val="16"/>
          <w:szCs w:val="16"/>
          <w:vertAlign w:val="subscript"/>
        </w:rPr>
        <w:t>m</w:t>
      </w:r>
      <w:r w:rsidRPr="00D32538">
        <w:rPr>
          <w:rFonts w:ascii="Open Sans" w:eastAsia="Times New Roman" w:hAnsi="Open Sans" w:cs="Open Sans"/>
          <w:sz w:val="21"/>
          <w:szCs w:val="21"/>
        </w:rPr>
        <w:t> type GBCPs were also prepared with hierarchical morphologies containing hetero-substructures. A more scalable synthetic route that employs random copolymerization of monofunctionalized A and B MMs for the formation of the A/B-grafted block was also developed and the self-assembly behaviors were compared with the previous GBCPs containing A-</w:t>
      </w:r>
      <w:r w:rsidRPr="00D32538">
        <w:rPr>
          <w:rFonts w:ascii="Open Sans" w:eastAsia="Times New Roman" w:hAnsi="Open Sans" w:cs="Open Sans"/>
          <w:i/>
          <w:iCs/>
          <w:sz w:val="21"/>
          <w:szCs w:val="21"/>
        </w:rPr>
        <w:t>branch</w:t>
      </w:r>
      <w:r w:rsidRPr="00D32538">
        <w:rPr>
          <w:rFonts w:ascii="Open Sans" w:eastAsia="Times New Roman" w:hAnsi="Open Sans" w:cs="Open Sans"/>
          <w:sz w:val="21"/>
          <w:szCs w:val="21"/>
        </w:rPr>
        <w:t>-B MM.</w:t>
      </w:r>
    </w:p>
    <w:p w14:paraId="2F5CA436" w14:textId="7F9BAA22" w:rsidR="00D32538" w:rsidRPr="00D32538" w:rsidRDefault="00D32538" w:rsidP="00D32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E6126" w14:textId="11DAE26D" w:rsidR="00222787" w:rsidRPr="00D32538" w:rsidRDefault="00D32538" w:rsidP="00D32538">
      <w:r w:rsidRPr="00D32538">
        <w:rPr>
          <w:rFonts w:ascii="Open Sans" w:eastAsia="Times New Roman" w:hAnsi="Open Sans" w:cs="Open Sans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5D7F77D" wp14:editId="7ED86AE2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5943600" cy="3343275"/>
            <wp:effectExtent l="0" t="0" r="0" b="9525"/>
            <wp:wrapNone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22787" w:rsidRPr="00D3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CC"/>
    <w:rsid w:val="00222787"/>
    <w:rsid w:val="003B58CC"/>
    <w:rsid w:val="00D3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4B5B"/>
  <w15:chartTrackingRefBased/>
  <w15:docId w15:val="{0BF58C3B-1F4F-4AC3-A10A-E78B7D87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8CC"/>
    <w:rPr>
      <w:color w:val="0000FF"/>
      <w:u w:val="single"/>
    </w:rPr>
  </w:style>
  <w:style w:type="character" w:customStyle="1" w:styleId="markhighlight">
    <w:name w:val="markhighlight"/>
    <w:basedOn w:val="DefaultParagraphFont"/>
    <w:rsid w:val="003B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9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11250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804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7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6076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29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2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3885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9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  <w:divsChild>
            <w:div w:id="683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7687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135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302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439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150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cs.digitellinc.com/acs/live/22/page/677/3?eventSearchInput=&amp;eventSearchDateTimeStart=&amp;eventSearchDateTimeEnd=&amp;eventSearchTrack%5b%5d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Carlee</dc:creator>
  <cp:keywords/>
  <dc:description/>
  <cp:lastModifiedBy>Black, Carlee</cp:lastModifiedBy>
  <cp:revision>2</cp:revision>
  <dcterms:created xsi:type="dcterms:W3CDTF">2022-04-06T14:30:00Z</dcterms:created>
  <dcterms:modified xsi:type="dcterms:W3CDTF">2022-04-06T14:30:00Z</dcterms:modified>
</cp:coreProperties>
</file>