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4D" w:rsidRPr="004B6D72" w:rsidRDefault="00B67BFE" w:rsidP="004B6D72">
      <w:pPr>
        <w:pStyle w:val="Title"/>
        <w:rPr>
          <w:rFonts w:asciiTheme="minorHAnsi" w:eastAsia="Times New Roman" w:hAnsiTheme="minorHAnsi" w:cstheme="majorHAnsi"/>
          <w:b/>
          <w:sz w:val="24"/>
          <w:szCs w:val="24"/>
        </w:rPr>
      </w:pPr>
      <w:bookmarkStart w:id="0" w:name="_qwpbgi68tgs" w:colFirst="0" w:colLast="0"/>
      <w:bookmarkEnd w:id="0"/>
      <w:r w:rsidRPr="004B6D72">
        <w:rPr>
          <w:rFonts w:asciiTheme="minorHAnsi" w:eastAsia="Times New Roman" w:hAnsiTheme="minorHAnsi" w:cstheme="majorHAnsi"/>
          <w:b/>
          <w:sz w:val="24"/>
          <w:szCs w:val="24"/>
        </w:rPr>
        <w:t>A bio-enabled platform to access polyamides with built-in target properties</w:t>
      </w:r>
    </w:p>
    <w:p w:rsidR="004B6D72" w:rsidRPr="004B6D72" w:rsidRDefault="004B6D72" w:rsidP="004B6D72">
      <w:pPr>
        <w:rPr>
          <w:rFonts w:asciiTheme="minorHAnsi" w:hAnsiTheme="minorHAnsi" w:cstheme="majorHAnsi"/>
          <w:sz w:val="24"/>
          <w:szCs w:val="24"/>
        </w:rPr>
      </w:pPr>
    </w:p>
    <w:p w:rsidR="00C7744D" w:rsidRPr="004B6D72" w:rsidRDefault="00B67BFE" w:rsidP="004B6D72">
      <w:pPr>
        <w:spacing w:line="360" w:lineRule="auto"/>
        <w:rPr>
          <w:rFonts w:asciiTheme="minorHAnsi" w:eastAsia="Times New Roman" w:hAnsiTheme="minorHAnsi" w:cstheme="majorHAnsi"/>
          <w:sz w:val="24"/>
          <w:szCs w:val="24"/>
          <w:vertAlign w:val="superscript"/>
        </w:rPr>
      </w:pPr>
      <w:r w:rsidRPr="004B6D72">
        <w:rPr>
          <w:rFonts w:asciiTheme="minorHAnsi" w:eastAsia="Times New Roman" w:hAnsiTheme="minorHAnsi" w:cstheme="majorHAnsi"/>
          <w:i/>
          <w:sz w:val="24"/>
          <w:szCs w:val="24"/>
          <w:u w:val="single"/>
        </w:rPr>
        <w:t>Prerana Carter</w:t>
      </w:r>
      <w:proofErr w:type="gramStart"/>
      <w:r w:rsidRPr="004B6D72">
        <w:rPr>
          <w:rFonts w:asciiTheme="minorHAnsi" w:eastAsia="Times New Roman" w:hAnsiTheme="minorHAnsi" w:cstheme="majorHAnsi"/>
          <w:i/>
          <w:sz w:val="24"/>
          <w:szCs w:val="24"/>
        </w:rPr>
        <w:t>,</w:t>
      </w:r>
      <w:r w:rsidRPr="004B6D72">
        <w:rPr>
          <w:rFonts w:asciiTheme="minorHAnsi" w:eastAsia="Times New Roman" w:hAnsiTheme="minorHAnsi" w:cstheme="majorHAnsi"/>
          <w:i/>
          <w:sz w:val="24"/>
          <w:szCs w:val="24"/>
          <w:vertAlign w:val="superscript"/>
        </w:rPr>
        <w:t>1</w:t>
      </w:r>
      <w:proofErr w:type="gramEnd"/>
      <w:r w:rsidRPr="004B6D72">
        <w:rPr>
          <w:rFonts w:asciiTheme="minorHAnsi" w:eastAsia="Times New Roman" w:hAnsiTheme="minorHAnsi" w:cstheme="majorHAnsi"/>
          <w:i/>
          <w:sz w:val="24"/>
          <w:szCs w:val="24"/>
          <w:vertAlign w:val="superscript"/>
        </w:rPr>
        <w:t xml:space="preserve">,* </w:t>
      </w:r>
      <w:r w:rsidRPr="004B6D72">
        <w:rPr>
          <w:rFonts w:asciiTheme="minorHAnsi" w:eastAsia="Times New Roman" w:hAnsiTheme="minorHAnsi" w:cstheme="majorHAnsi"/>
          <w:i/>
          <w:sz w:val="24"/>
          <w:szCs w:val="24"/>
        </w:rPr>
        <w:t>Brent Shanks,</w:t>
      </w:r>
      <w:r w:rsidRPr="004B6D72">
        <w:rPr>
          <w:rFonts w:asciiTheme="minorHAnsi" w:eastAsia="Times New Roman" w:hAnsiTheme="minorHAnsi" w:cstheme="majorHAnsi"/>
          <w:i/>
          <w:sz w:val="24"/>
          <w:szCs w:val="24"/>
          <w:vertAlign w:val="superscript"/>
        </w:rPr>
        <w:t>1,2</w:t>
      </w:r>
      <w:r w:rsidRPr="004B6D72">
        <w:rPr>
          <w:rFonts w:asciiTheme="minorHAnsi" w:eastAsia="Times New Roman" w:hAnsiTheme="minorHAnsi" w:cstheme="majorHAnsi"/>
          <w:i/>
          <w:sz w:val="24"/>
          <w:szCs w:val="24"/>
        </w:rPr>
        <w:t xml:space="preserve"> </w:t>
      </w:r>
      <w:r w:rsidRPr="004B6D72">
        <w:rPr>
          <w:rFonts w:asciiTheme="minorHAnsi" w:eastAsia="Times New Roman" w:hAnsiTheme="minorHAnsi" w:cstheme="majorHAnsi"/>
          <w:i/>
          <w:sz w:val="24"/>
          <w:szCs w:val="24"/>
          <w:vertAlign w:val="superscript"/>
        </w:rPr>
        <w:t xml:space="preserve"> </w:t>
      </w:r>
      <w:r w:rsidRPr="004B6D72">
        <w:rPr>
          <w:rFonts w:asciiTheme="minorHAnsi" w:eastAsia="Times New Roman" w:hAnsiTheme="minorHAnsi" w:cstheme="majorHAnsi"/>
          <w:i/>
          <w:sz w:val="24"/>
          <w:szCs w:val="24"/>
        </w:rPr>
        <w:t>Jean-Philippe Tessonnier,</w:t>
      </w:r>
      <w:r w:rsidRPr="004B6D72">
        <w:rPr>
          <w:rFonts w:asciiTheme="minorHAnsi" w:eastAsia="Times New Roman" w:hAnsiTheme="minorHAnsi" w:cstheme="majorHAnsi"/>
          <w:i/>
          <w:sz w:val="24"/>
          <w:szCs w:val="24"/>
          <w:vertAlign w:val="superscript"/>
        </w:rPr>
        <w:t>1,2</w:t>
      </w:r>
      <w:r w:rsidRPr="004B6D72">
        <w:rPr>
          <w:rFonts w:asciiTheme="minorHAnsi" w:eastAsia="Times New Roman" w:hAnsiTheme="minorHAnsi" w:cstheme="majorHAnsi"/>
          <w:i/>
          <w:sz w:val="24"/>
          <w:szCs w:val="24"/>
        </w:rPr>
        <w:t xml:space="preserve"> and Eric W. Cochran </w:t>
      </w:r>
      <w:r w:rsidRPr="004B6D72">
        <w:rPr>
          <w:rFonts w:asciiTheme="minorHAnsi" w:eastAsia="Times New Roman" w:hAnsiTheme="minorHAnsi" w:cstheme="majorHAnsi"/>
          <w:i/>
          <w:sz w:val="24"/>
          <w:szCs w:val="24"/>
          <w:vertAlign w:val="superscript"/>
        </w:rPr>
        <w:t>1</w:t>
      </w:r>
    </w:p>
    <w:p w:rsidR="004B6D72" w:rsidRDefault="004B6D72" w:rsidP="004B6D72">
      <w:pPr>
        <w:spacing w:line="360" w:lineRule="auto"/>
        <w:rPr>
          <w:rFonts w:asciiTheme="minorHAnsi" w:eastAsia="Times New Roman" w:hAnsiTheme="minorHAnsi" w:cstheme="majorHAnsi"/>
          <w:i/>
          <w:sz w:val="24"/>
          <w:szCs w:val="24"/>
          <w:vertAlign w:val="superscript"/>
        </w:rPr>
      </w:pPr>
    </w:p>
    <w:p w:rsidR="00C7744D" w:rsidRPr="004B6D72" w:rsidRDefault="00B67BFE" w:rsidP="004B6D72">
      <w:pPr>
        <w:spacing w:line="360" w:lineRule="auto"/>
        <w:ind w:firstLine="720"/>
        <w:rPr>
          <w:rFonts w:asciiTheme="minorHAnsi" w:eastAsia="Times New Roman" w:hAnsiTheme="minorHAnsi" w:cstheme="majorHAnsi"/>
          <w:sz w:val="24"/>
          <w:szCs w:val="24"/>
        </w:rPr>
      </w:pPr>
      <w:r w:rsidRPr="004B6D72">
        <w:rPr>
          <w:rFonts w:asciiTheme="minorHAnsi" w:eastAsia="Times New Roman" w:hAnsiTheme="minorHAnsi" w:cstheme="majorHAnsi"/>
          <w:i/>
          <w:sz w:val="24"/>
          <w:szCs w:val="24"/>
          <w:vertAlign w:val="superscript"/>
        </w:rPr>
        <w:t>1</w:t>
      </w:r>
      <w:r w:rsidRPr="004B6D72">
        <w:rPr>
          <w:rFonts w:asciiTheme="minorHAnsi" w:eastAsia="Times New Roman" w:hAnsiTheme="minorHAnsi" w:cstheme="majorHAnsi"/>
          <w:i/>
          <w:sz w:val="24"/>
          <w:szCs w:val="24"/>
        </w:rPr>
        <w:t>Department of Chemical and Biological Engineering</w:t>
      </w:r>
      <w:r w:rsidR="004B6D72" w:rsidRPr="004B6D72">
        <w:rPr>
          <w:rFonts w:asciiTheme="minorHAnsi" w:eastAsia="Times New Roman" w:hAnsiTheme="minorHAnsi" w:cstheme="majorHAnsi"/>
          <w:i/>
          <w:sz w:val="24"/>
          <w:szCs w:val="24"/>
        </w:rPr>
        <w:t xml:space="preserve">, Ames, Iowa 50011, </w:t>
      </w:r>
      <w:r w:rsidRPr="004B6D72">
        <w:rPr>
          <w:rFonts w:asciiTheme="minorHAnsi" w:eastAsia="Times New Roman" w:hAnsiTheme="minorHAnsi" w:cstheme="majorHAnsi"/>
          <w:i/>
          <w:sz w:val="24"/>
          <w:szCs w:val="24"/>
        </w:rPr>
        <w:t>United States</w:t>
      </w:r>
    </w:p>
    <w:p w:rsidR="00C7744D" w:rsidRPr="004B6D72" w:rsidRDefault="00B67BFE" w:rsidP="004B6D72">
      <w:pPr>
        <w:spacing w:line="360" w:lineRule="auto"/>
        <w:ind w:firstLine="720"/>
        <w:rPr>
          <w:rFonts w:asciiTheme="minorHAnsi" w:eastAsia="Times New Roman" w:hAnsiTheme="minorHAnsi" w:cstheme="majorHAnsi"/>
          <w:sz w:val="24"/>
          <w:szCs w:val="24"/>
        </w:rPr>
      </w:pPr>
      <w:r w:rsidRPr="004B6D72">
        <w:rPr>
          <w:rFonts w:asciiTheme="minorHAnsi" w:eastAsia="Times New Roman" w:hAnsiTheme="minorHAnsi" w:cstheme="majorHAnsi"/>
          <w:i/>
          <w:sz w:val="24"/>
          <w:szCs w:val="24"/>
          <w:vertAlign w:val="superscript"/>
        </w:rPr>
        <w:t>2</w:t>
      </w:r>
      <w:r w:rsidRPr="004B6D72">
        <w:rPr>
          <w:rFonts w:asciiTheme="minorHAnsi" w:eastAsia="Times New Roman" w:hAnsiTheme="minorHAnsi" w:cstheme="majorHAnsi"/>
          <w:i/>
          <w:sz w:val="24"/>
          <w:szCs w:val="24"/>
        </w:rPr>
        <w:t xml:space="preserve">Center for </w:t>
      </w:r>
      <w:proofErr w:type="spellStart"/>
      <w:r w:rsidRPr="004B6D72">
        <w:rPr>
          <w:rFonts w:asciiTheme="minorHAnsi" w:eastAsia="Times New Roman" w:hAnsiTheme="minorHAnsi" w:cstheme="majorHAnsi"/>
          <w:i/>
          <w:sz w:val="24"/>
          <w:szCs w:val="24"/>
        </w:rPr>
        <w:t>Biorenewable</w:t>
      </w:r>
      <w:proofErr w:type="spellEnd"/>
      <w:r w:rsidRPr="004B6D72">
        <w:rPr>
          <w:rFonts w:asciiTheme="minorHAnsi" w:eastAsia="Times New Roman" w:hAnsiTheme="minorHAnsi" w:cstheme="majorHAnsi"/>
          <w:i/>
          <w:sz w:val="24"/>
          <w:szCs w:val="24"/>
        </w:rPr>
        <w:t xml:space="preserve"> Chemicals (</w:t>
      </w:r>
      <w:proofErr w:type="spellStart"/>
      <w:r w:rsidRPr="004B6D72">
        <w:rPr>
          <w:rFonts w:asciiTheme="minorHAnsi" w:eastAsia="Times New Roman" w:hAnsiTheme="minorHAnsi" w:cstheme="majorHAnsi"/>
          <w:i/>
          <w:sz w:val="24"/>
          <w:szCs w:val="24"/>
        </w:rPr>
        <w:t>CBiRC</w:t>
      </w:r>
      <w:proofErr w:type="spellEnd"/>
      <w:r w:rsidRPr="004B6D72">
        <w:rPr>
          <w:rFonts w:asciiTheme="minorHAnsi" w:eastAsia="Times New Roman" w:hAnsiTheme="minorHAnsi" w:cstheme="majorHAnsi"/>
          <w:i/>
          <w:sz w:val="24"/>
          <w:szCs w:val="24"/>
        </w:rPr>
        <w:t>), Ames, Iowa 50011, United States</w:t>
      </w:r>
    </w:p>
    <w:p w:rsidR="00C7744D" w:rsidRPr="004B6D72" w:rsidRDefault="00B67BFE" w:rsidP="004B6D72">
      <w:pPr>
        <w:spacing w:line="360" w:lineRule="auto"/>
        <w:ind w:firstLine="720"/>
        <w:rPr>
          <w:rFonts w:asciiTheme="minorHAnsi" w:hAnsiTheme="minorHAnsi" w:cstheme="majorHAnsi"/>
          <w:sz w:val="24"/>
          <w:szCs w:val="24"/>
        </w:rPr>
      </w:pPr>
      <w:r w:rsidRPr="004B6D72">
        <w:rPr>
          <w:rFonts w:asciiTheme="minorHAnsi" w:eastAsia="Times New Roman" w:hAnsiTheme="minorHAnsi" w:cstheme="majorHAnsi"/>
          <w:i/>
          <w:sz w:val="18"/>
          <w:szCs w:val="24"/>
          <w:vertAlign w:val="superscript"/>
        </w:rPr>
        <w:t>*</w:t>
      </w:r>
      <w:r w:rsidRPr="004B6D72">
        <w:rPr>
          <w:rFonts w:asciiTheme="minorHAnsi" w:eastAsia="Times New Roman" w:hAnsiTheme="minorHAnsi" w:cstheme="majorHAnsi"/>
          <w:i/>
          <w:sz w:val="18"/>
          <w:szCs w:val="24"/>
        </w:rPr>
        <w:t xml:space="preserve">E-mail: </w:t>
      </w:r>
      <w:hyperlink r:id="rId4">
        <w:r w:rsidRPr="004B6D72">
          <w:rPr>
            <w:rFonts w:asciiTheme="minorHAnsi" w:eastAsia="Times New Roman" w:hAnsiTheme="minorHAnsi" w:cstheme="majorHAnsi"/>
            <w:i/>
            <w:color w:val="1155CC"/>
            <w:sz w:val="18"/>
            <w:szCs w:val="24"/>
            <w:u w:val="single"/>
          </w:rPr>
          <w:t>prerana@iastate.edu</w:t>
        </w:r>
      </w:hyperlink>
    </w:p>
    <w:p w:rsidR="00C7744D" w:rsidRPr="004B6D72" w:rsidRDefault="00B67BFE" w:rsidP="004B6D72">
      <w:pPr>
        <w:spacing w:before="240" w:after="240"/>
        <w:jc w:val="both"/>
        <w:rPr>
          <w:rFonts w:asciiTheme="minorHAnsi" w:eastAsia="Times New Roman" w:hAnsiTheme="minorHAnsi" w:cstheme="majorHAnsi"/>
          <w:sz w:val="24"/>
          <w:szCs w:val="24"/>
        </w:rPr>
      </w:pPr>
      <w:r w:rsidRPr="004B6D72">
        <w:rPr>
          <w:rFonts w:asciiTheme="minorHAnsi" w:eastAsia="Times New Roman" w:hAnsiTheme="minorHAnsi" w:cstheme="majorHAnsi"/>
          <w:sz w:val="24"/>
          <w:szCs w:val="24"/>
        </w:rPr>
        <w:t>The polymer industry has been a key driver in the quest for green-alternatives to petroleum-derived chemic</w:t>
      </w:r>
      <w:r w:rsidRPr="004B6D72">
        <w:rPr>
          <w:rFonts w:asciiTheme="minorHAnsi" w:eastAsia="Times New Roman" w:hAnsiTheme="minorHAnsi" w:cstheme="majorHAnsi"/>
          <w:sz w:val="24"/>
          <w:szCs w:val="24"/>
        </w:rPr>
        <w:t xml:space="preserve">als. While current efforts have predominantly focused on bio-derived structural or functional replacements of petrochemical molecules, a more appealing strategy would be to target </w:t>
      </w:r>
      <w:proofErr w:type="spellStart"/>
      <w:r w:rsidRPr="004B6D72">
        <w:rPr>
          <w:rFonts w:asciiTheme="minorHAnsi" w:eastAsia="Times New Roman" w:hAnsiTheme="minorHAnsi" w:cstheme="majorHAnsi"/>
          <w:sz w:val="24"/>
          <w:szCs w:val="24"/>
        </w:rPr>
        <w:t>bioprivileged</w:t>
      </w:r>
      <w:proofErr w:type="spellEnd"/>
      <w:r w:rsidRPr="004B6D72">
        <w:rPr>
          <w:rFonts w:asciiTheme="minorHAnsi" w:eastAsia="Times New Roman" w:hAnsiTheme="minorHAnsi" w:cstheme="majorHAnsi"/>
          <w:sz w:val="24"/>
          <w:szCs w:val="24"/>
        </w:rPr>
        <w:t xml:space="preserve"> molecules. These platform molecules exhibit the versatility to</w:t>
      </w:r>
      <w:r w:rsidRPr="004B6D72">
        <w:rPr>
          <w:rFonts w:asciiTheme="minorHAnsi" w:eastAsia="Times New Roman" w:hAnsiTheme="minorHAnsi" w:cstheme="majorHAnsi"/>
          <w:sz w:val="24"/>
          <w:szCs w:val="24"/>
        </w:rPr>
        <w:t xml:space="preserve"> be converted into both “drop-in” replacements and novel chemicals. Herein, we present a functionalization strategy to effectively convert </w:t>
      </w:r>
      <w:proofErr w:type="spellStart"/>
      <w:r w:rsidRPr="004B6D72">
        <w:rPr>
          <w:rFonts w:asciiTheme="minorHAnsi" w:eastAsia="Times New Roman" w:hAnsiTheme="minorHAnsi" w:cstheme="majorHAnsi"/>
          <w:sz w:val="24"/>
          <w:szCs w:val="24"/>
        </w:rPr>
        <w:t>bioprivileged</w:t>
      </w:r>
      <w:proofErr w:type="spellEnd"/>
      <w:r w:rsidRPr="004B6D72">
        <w:rPr>
          <w:rFonts w:asciiTheme="minorHAnsi" w:eastAsia="Times New Roman" w:hAnsiTheme="minorHAnsi" w:cstheme="majorHAnsi"/>
          <w:sz w:val="24"/>
          <w:szCs w:val="24"/>
        </w:rPr>
        <w:t xml:space="preserve"> </w:t>
      </w:r>
      <w:proofErr w:type="spellStart"/>
      <w:r w:rsidRPr="004B6D72">
        <w:rPr>
          <w:rFonts w:asciiTheme="minorHAnsi" w:eastAsia="Times New Roman" w:hAnsiTheme="minorHAnsi" w:cstheme="majorHAnsi"/>
          <w:sz w:val="24"/>
          <w:szCs w:val="24"/>
        </w:rPr>
        <w:t>muconic</w:t>
      </w:r>
      <w:proofErr w:type="spellEnd"/>
      <w:r w:rsidRPr="004B6D72">
        <w:rPr>
          <w:rFonts w:asciiTheme="minorHAnsi" w:eastAsia="Times New Roman" w:hAnsiTheme="minorHAnsi" w:cstheme="majorHAnsi"/>
          <w:sz w:val="24"/>
          <w:szCs w:val="24"/>
        </w:rPr>
        <w:t xml:space="preserve"> acid (MA) into an array of </w:t>
      </w:r>
      <w:proofErr w:type="spellStart"/>
      <w:r w:rsidRPr="004B6D72">
        <w:rPr>
          <w:rFonts w:asciiTheme="minorHAnsi" w:eastAsia="Times New Roman" w:hAnsiTheme="minorHAnsi" w:cstheme="majorHAnsi"/>
          <w:sz w:val="24"/>
          <w:szCs w:val="24"/>
        </w:rPr>
        <w:t>diacids</w:t>
      </w:r>
      <w:proofErr w:type="spellEnd"/>
      <w:r w:rsidRPr="004B6D72">
        <w:rPr>
          <w:rFonts w:asciiTheme="minorHAnsi" w:eastAsia="Times New Roman" w:hAnsiTheme="minorHAnsi" w:cstheme="majorHAnsi"/>
          <w:sz w:val="24"/>
          <w:szCs w:val="24"/>
        </w:rPr>
        <w:t xml:space="preserve"> exhibiting custom property enhancements. </w:t>
      </w:r>
      <w:proofErr w:type="spellStart"/>
      <w:r w:rsidRPr="004B6D72">
        <w:rPr>
          <w:rFonts w:asciiTheme="minorHAnsi" w:eastAsia="Times New Roman" w:hAnsiTheme="minorHAnsi" w:cstheme="majorHAnsi"/>
          <w:i/>
          <w:sz w:val="24"/>
          <w:szCs w:val="24"/>
        </w:rPr>
        <w:t>Trans</w:t>
      </w:r>
      <w:proofErr w:type="gramStart"/>
      <w:r w:rsidRPr="004B6D72">
        <w:rPr>
          <w:rFonts w:asciiTheme="minorHAnsi" w:eastAsia="Times New Roman" w:hAnsiTheme="minorHAnsi" w:cstheme="majorHAnsi"/>
          <w:i/>
          <w:sz w:val="24"/>
          <w:szCs w:val="24"/>
        </w:rPr>
        <w:t>,trans</w:t>
      </w:r>
      <w:proofErr w:type="spellEnd"/>
      <w:proofErr w:type="gramEnd"/>
      <w:r w:rsidRPr="004B6D72">
        <w:rPr>
          <w:rFonts w:asciiTheme="minorHAnsi" w:eastAsia="Times New Roman" w:hAnsiTheme="minorHAnsi" w:cstheme="majorHAnsi"/>
          <w:sz w:val="24"/>
          <w:szCs w:val="24"/>
        </w:rPr>
        <w:t>-MA (</w:t>
      </w:r>
      <w:proofErr w:type="spellStart"/>
      <w:r w:rsidRPr="004B6D72">
        <w:rPr>
          <w:rFonts w:asciiTheme="minorHAnsi" w:eastAsia="Times New Roman" w:hAnsiTheme="minorHAnsi" w:cstheme="majorHAnsi"/>
          <w:i/>
          <w:sz w:val="24"/>
          <w:szCs w:val="24"/>
        </w:rPr>
        <w:t>tt</w:t>
      </w:r>
      <w:r w:rsidRPr="004B6D72">
        <w:rPr>
          <w:rFonts w:asciiTheme="minorHAnsi" w:eastAsia="Times New Roman" w:hAnsiTheme="minorHAnsi" w:cstheme="majorHAnsi"/>
          <w:sz w:val="24"/>
          <w:szCs w:val="24"/>
        </w:rPr>
        <w:t>MA</w:t>
      </w:r>
      <w:proofErr w:type="spellEnd"/>
      <w:r w:rsidRPr="004B6D72">
        <w:rPr>
          <w:rFonts w:asciiTheme="minorHAnsi" w:eastAsia="Times New Roman" w:hAnsiTheme="minorHAnsi" w:cstheme="majorHAnsi"/>
          <w:sz w:val="24"/>
          <w:szCs w:val="24"/>
        </w:rPr>
        <w:t xml:space="preserve">) offers a conjugated double bond with the potential for grafting vinyl groups to tether desired properties and yield polymers with built-in enhancements like hydrophobicity or flame </w:t>
      </w:r>
      <w:proofErr w:type="spellStart"/>
      <w:r w:rsidRPr="004B6D72">
        <w:rPr>
          <w:rFonts w:asciiTheme="minorHAnsi" w:eastAsia="Times New Roman" w:hAnsiTheme="minorHAnsi" w:cstheme="majorHAnsi"/>
          <w:sz w:val="24"/>
          <w:szCs w:val="24"/>
        </w:rPr>
        <w:t>retardance</w:t>
      </w:r>
      <w:proofErr w:type="spellEnd"/>
      <w:r w:rsidRPr="004B6D72">
        <w:rPr>
          <w:rFonts w:asciiTheme="minorHAnsi" w:eastAsia="Times New Roman" w:hAnsiTheme="minorHAnsi" w:cstheme="majorHAnsi"/>
          <w:sz w:val="24"/>
          <w:szCs w:val="24"/>
        </w:rPr>
        <w:t>.</w:t>
      </w:r>
    </w:p>
    <w:p w:rsidR="00C7744D" w:rsidRPr="004B6D72" w:rsidRDefault="00B67BFE" w:rsidP="004B6D72">
      <w:pPr>
        <w:jc w:val="both"/>
        <w:rPr>
          <w:rFonts w:asciiTheme="minorHAnsi" w:eastAsia="Times New Roman" w:hAnsiTheme="minorHAnsi" w:cstheme="majorHAnsi"/>
          <w:sz w:val="24"/>
          <w:szCs w:val="24"/>
        </w:rPr>
      </w:pPr>
      <w:r w:rsidRPr="004B6D72">
        <w:rPr>
          <w:rFonts w:asciiTheme="minorHAnsi" w:eastAsia="Times New Roman" w:hAnsiTheme="minorHAnsi" w:cstheme="majorHAnsi"/>
          <w:sz w:val="24"/>
          <w:szCs w:val="24"/>
        </w:rPr>
        <w:t xml:space="preserve">As a proof of concept, hydrophobic </w:t>
      </w:r>
      <w:proofErr w:type="spellStart"/>
      <w:r w:rsidRPr="004B6D72">
        <w:rPr>
          <w:rFonts w:asciiTheme="minorHAnsi" w:eastAsia="Times New Roman" w:hAnsiTheme="minorHAnsi" w:cstheme="majorHAnsi"/>
          <w:sz w:val="24"/>
          <w:szCs w:val="24"/>
        </w:rPr>
        <w:t>diacids</w:t>
      </w:r>
      <w:proofErr w:type="spellEnd"/>
      <w:r w:rsidRPr="004B6D72">
        <w:rPr>
          <w:rFonts w:asciiTheme="minorHAnsi" w:eastAsia="Times New Roman" w:hAnsiTheme="minorHAnsi" w:cstheme="majorHAnsi"/>
          <w:sz w:val="24"/>
          <w:szCs w:val="24"/>
        </w:rPr>
        <w:t xml:space="preserve"> were prepared by</w:t>
      </w:r>
      <w:r w:rsidRPr="004B6D72">
        <w:rPr>
          <w:rFonts w:asciiTheme="minorHAnsi" w:eastAsia="Times New Roman" w:hAnsiTheme="minorHAnsi" w:cstheme="majorHAnsi"/>
          <w:sz w:val="24"/>
          <w:szCs w:val="24"/>
        </w:rPr>
        <w:t xml:space="preserve"> reacting alpha olefins with MA-derivatives and inserting them in a Nylon-6</w:t>
      </w:r>
      <w:proofErr w:type="gramStart"/>
      <w:r w:rsidRPr="004B6D72">
        <w:rPr>
          <w:rFonts w:asciiTheme="minorHAnsi" w:eastAsia="Times New Roman" w:hAnsiTheme="minorHAnsi" w:cstheme="majorHAnsi"/>
          <w:sz w:val="24"/>
          <w:szCs w:val="24"/>
        </w:rPr>
        <w:t>,6</w:t>
      </w:r>
      <w:proofErr w:type="gramEnd"/>
      <w:r w:rsidRPr="004B6D72">
        <w:rPr>
          <w:rFonts w:asciiTheme="minorHAnsi" w:eastAsia="Times New Roman" w:hAnsiTheme="minorHAnsi" w:cstheme="majorHAnsi"/>
          <w:sz w:val="24"/>
          <w:szCs w:val="24"/>
        </w:rPr>
        <w:t xml:space="preserve"> backbone. The resultant polyamides were fully tested for moisture absorption and characterized through GPC, TGA, DSC, WAXS, and DMA. The resulting polyamid</w:t>
      </w:r>
      <w:bookmarkStart w:id="1" w:name="_GoBack"/>
      <w:bookmarkEnd w:id="1"/>
      <w:r w:rsidRPr="004B6D72">
        <w:rPr>
          <w:rFonts w:asciiTheme="minorHAnsi" w:eastAsia="Times New Roman" w:hAnsiTheme="minorHAnsi" w:cstheme="majorHAnsi"/>
          <w:sz w:val="24"/>
          <w:szCs w:val="24"/>
        </w:rPr>
        <w:t>es exhibited polymer pr</w:t>
      </w:r>
      <w:r w:rsidRPr="004B6D72">
        <w:rPr>
          <w:rFonts w:asciiTheme="minorHAnsi" w:eastAsia="Times New Roman" w:hAnsiTheme="minorHAnsi" w:cstheme="majorHAnsi"/>
          <w:sz w:val="24"/>
          <w:szCs w:val="24"/>
        </w:rPr>
        <w:t xml:space="preserve">operty customization by reducing water-uptake of over three-folds without affecting </w:t>
      </w:r>
      <w:proofErr w:type="spellStart"/>
      <w:r w:rsidRPr="004B6D72">
        <w:rPr>
          <w:rFonts w:asciiTheme="minorHAnsi" w:eastAsia="Times New Roman" w:hAnsiTheme="minorHAnsi" w:cstheme="majorHAnsi"/>
          <w:sz w:val="24"/>
          <w:szCs w:val="24"/>
        </w:rPr>
        <w:t>visco</w:t>
      </w:r>
      <w:proofErr w:type="spellEnd"/>
      <w:r w:rsidRPr="004B6D72">
        <w:rPr>
          <w:rFonts w:asciiTheme="minorHAnsi" w:eastAsia="Times New Roman" w:hAnsiTheme="minorHAnsi" w:cstheme="majorHAnsi"/>
          <w:sz w:val="24"/>
          <w:szCs w:val="24"/>
        </w:rPr>
        <w:t>-elastic properties of nylon-6</w:t>
      </w:r>
      <w:proofErr w:type="gramStart"/>
      <w:r w:rsidRPr="004B6D72">
        <w:rPr>
          <w:rFonts w:asciiTheme="minorHAnsi" w:eastAsia="Times New Roman" w:hAnsiTheme="minorHAnsi" w:cstheme="majorHAnsi"/>
          <w:sz w:val="24"/>
          <w:szCs w:val="24"/>
        </w:rPr>
        <w:t>,6</w:t>
      </w:r>
      <w:proofErr w:type="gramEnd"/>
      <w:r w:rsidRPr="004B6D72">
        <w:rPr>
          <w:rFonts w:asciiTheme="minorHAnsi" w:eastAsia="Times New Roman" w:hAnsiTheme="minorHAnsi" w:cstheme="majorHAnsi"/>
          <w:sz w:val="24"/>
          <w:szCs w:val="24"/>
        </w:rPr>
        <w:t>. This functionalization strategy was further extended to aromatic vinyl groups and the resulting polyamides demonstrating a 60% improv</w:t>
      </w:r>
      <w:r w:rsidRPr="004B6D72">
        <w:rPr>
          <w:rFonts w:asciiTheme="minorHAnsi" w:eastAsia="Times New Roman" w:hAnsiTheme="minorHAnsi" w:cstheme="majorHAnsi"/>
          <w:sz w:val="24"/>
          <w:szCs w:val="24"/>
        </w:rPr>
        <w:t xml:space="preserve">ement in char production. Overall, we demonstrate a bio-enabled platform for diversification of </w:t>
      </w:r>
      <w:proofErr w:type="spellStart"/>
      <w:r w:rsidRPr="004B6D72">
        <w:rPr>
          <w:rFonts w:asciiTheme="minorHAnsi" w:eastAsia="Times New Roman" w:hAnsiTheme="minorHAnsi" w:cstheme="majorHAnsi"/>
          <w:sz w:val="24"/>
          <w:szCs w:val="24"/>
        </w:rPr>
        <w:t>muconic</w:t>
      </w:r>
      <w:proofErr w:type="spellEnd"/>
      <w:r w:rsidRPr="004B6D72">
        <w:rPr>
          <w:rFonts w:asciiTheme="minorHAnsi" w:eastAsia="Times New Roman" w:hAnsiTheme="minorHAnsi" w:cstheme="majorHAnsi"/>
          <w:sz w:val="24"/>
          <w:szCs w:val="24"/>
        </w:rPr>
        <w:t xml:space="preserve"> acid utilizing Diels-Alder chemistry to access a new library of </w:t>
      </w:r>
      <w:proofErr w:type="spellStart"/>
      <w:r w:rsidRPr="004B6D72">
        <w:rPr>
          <w:rFonts w:asciiTheme="minorHAnsi" w:eastAsia="Times New Roman" w:hAnsiTheme="minorHAnsi" w:cstheme="majorHAnsi"/>
          <w:sz w:val="24"/>
          <w:szCs w:val="24"/>
        </w:rPr>
        <w:t>diacids</w:t>
      </w:r>
      <w:proofErr w:type="spellEnd"/>
      <w:r w:rsidRPr="004B6D72">
        <w:rPr>
          <w:rFonts w:asciiTheme="minorHAnsi" w:eastAsia="Times New Roman" w:hAnsiTheme="minorHAnsi" w:cstheme="majorHAnsi"/>
          <w:sz w:val="24"/>
          <w:szCs w:val="24"/>
        </w:rPr>
        <w:t xml:space="preserve"> with custom property enhancements.</w:t>
      </w:r>
    </w:p>
    <w:p w:rsidR="00C7744D" w:rsidRDefault="00C7744D" w:rsidP="004B6D72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44D" w:rsidRDefault="00B67BFE">
      <w:pPr>
        <w:spacing w:after="20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114300" distB="114300" distL="114300" distR="114300">
            <wp:extent cx="1981200" cy="5257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525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774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4D"/>
    <w:rsid w:val="004B6D72"/>
    <w:rsid w:val="00B67BFE"/>
    <w:rsid w:val="00C7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CEC81"/>
  <w15:docId w15:val="{F494E9CE-6558-4303-922F-5703CBD0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prerana@i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Prerana [C B E]</dc:creator>
  <cp:lastModifiedBy>Carter, Prerana [C B E]</cp:lastModifiedBy>
  <cp:revision>2</cp:revision>
  <dcterms:created xsi:type="dcterms:W3CDTF">2022-02-24T19:12:00Z</dcterms:created>
  <dcterms:modified xsi:type="dcterms:W3CDTF">2022-02-24T19:12:00Z</dcterms:modified>
</cp:coreProperties>
</file>