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3FDFE" w14:textId="2EFF1B2C" w:rsidR="00F66818" w:rsidRPr="0043312D" w:rsidRDefault="00F66818" w:rsidP="0043312D">
      <w:pPr>
        <w:jc w:val="center"/>
        <w:rPr>
          <w:b/>
          <w:bCs/>
          <w:sz w:val="28"/>
          <w:szCs w:val="28"/>
        </w:rPr>
      </w:pPr>
      <w:r w:rsidRPr="0043312D">
        <w:rPr>
          <w:b/>
          <w:bCs/>
          <w:sz w:val="28"/>
          <w:szCs w:val="28"/>
        </w:rPr>
        <w:t>Synthesis of High Etch Contrast Poly(3-hydroxystyrene)</w:t>
      </w:r>
      <w:r w:rsidR="00197C50" w:rsidRPr="0043312D">
        <w:rPr>
          <w:b/>
          <w:bCs/>
          <w:sz w:val="28"/>
          <w:szCs w:val="28"/>
        </w:rPr>
        <w:t>-ba</w:t>
      </w:r>
      <w:r w:rsidRPr="0043312D">
        <w:rPr>
          <w:b/>
          <w:bCs/>
          <w:sz w:val="28"/>
          <w:szCs w:val="28"/>
        </w:rPr>
        <w:t xml:space="preserve">sed Triblock Copolymers </w:t>
      </w:r>
      <w:r w:rsidR="00197C50" w:rsidRPr="0043312D">
        <w:rPr>
          <w:b/>
          <w:bCs/>
          <w:sz w:val="28"/>
          <w:szCs w:val="28"/>
        </w:rPr>
        <w:t>for Sub-5 nm Features</w:t>
      </w:r>
    </w:p>
    <w:p w14:paraId="0BC23F54" w14:textId="22D5903D" w:rsidR="0043312D" w:rsidRPr="0043312D" w:rsidRDefault="0043312D" w:rsidP="0043312D">
      <w:pPr>
        <w:jc w:val="both"/>
        <w:rPr>
          <w:sz w:val="28"/>
          <w:szCs w:val="28"/>
        </w:rPr>
      </w:pPr>
      <w:r w:rsidRPr="0043312D">
        <w:rPr>
          <w:sz w:val="28"/>
          <w:szCs w:val="28"/>
          <w:u w:val="single"/>
        </w:rPr>
        <w:t>Jian Sun</w:t>
      </w:r>
      <w:r w:rsidRPr="0043312D">
        <w:rPr>
          <w:sz w:val="28"/>
          <w:szCs w:val="28"/>
          <w:u w:val="single"/>
          <w:vertAlign w:val="superscript"/>
        </w:rPr>
        <w:t>1</w:t>
      </w:r>
      <w:r w:rsidRPr="0043312D">
        <w:rPr>
          <w:sz w:val="28"/>
          <w:szCs w:val="28"/>
        </w:rPr>
        <w:t>, Changyeon Lee</w:t>
      </w:r>
      <w:r w:rsidRPr="0043312D">
        <w:rPr>
          <w:sz w:val="28"/>
          <w:szCs w:val="28"/>
          <w:vertAlign w:val="superscript"/>
        </w:rPr>
        <w:t>2</w:t>
      </w:r>
      <w:r w:rsidRPr="0043312D">
        <w:rPr>
          <w:sz w:val="28"/>
          <w:szCs w:val="28"/>
        </w:rPr>
        <w:t>, Chinedum Osuji</w:t>
      </w:r>
      <w:r w:rsidRPr="0043312D">
        <w:rPr>
          <w:sz w:val="28"/>
          <w:szCs w:val="28"/>
          <w:vertAlign w:val="superscript"/>
        </w:rPr>
        <w:t>2</w:t>
      </w:r>
      <w:r w:rsidRPr="0043312D">
        <w:rPr>
          <w:sz w:val="28"/>
          <w:szCs w:val="28"/>
        </w:rPr>
        <w:t>, Padma Gopalan</w:t>
      </w:r>
      <w:r w:rsidRPr="0043312D">
        <w:rPr>
          <w:sz w:val="28"/>
          <w:szCs w:val="28"/>
          <w:vertAlign w:val="superscript"/>
        </w:rPr>
        <w:t>1</w:t>
      </w:r>
    </w:p>
    <w:p w14:paraId="2A2F4E03" w14:textId="6729F7AC" w:rsidR="0043312D" w:rsidRPr="0043312D" w:rsidRDefault="0043312D" w:rsidP="009A41DC">
      <w:pPr>
        <w:jc w:val="both"/>
        <w:rPr>
          <w:sz w:val="28"/>
          <w:szCs w:val="28"/>
        </w:rPr>
      </w:pPr>
      <w:r w:rsidRPr="0043312D">
        <w:rPr>
          <w:sz w:val="28"/>
          <w:szCs w:val="28"/>
          <w:vertAlign w:val="superscript"/>
        </w:rPr>
        <w:t xml:space="preserve">1 </w:t>
      </w:r>
      <w:r w:rsidRPr="0043312D">
        <w:rPr>
          <w:sz w:val="28"/>
          <w:szCs w:val="28"/>
        </w:rPr>
        <w:t>University of Wisconsin-Madison, Madison, Wisconsin</w:t>
      </w:r>
    </w:p>
    <w:p w14:paraId="7F50226D" w14:textId="7619CA7D" w:rsidR="0043312D" w:rsidRPr="0043312D" w:rsidRDefault="0043312D" w:rsidP="009A41DC">
      <w:pPr>
        <w:jc w:val="both"/>
        <w:rPr>
          <w:sz w:val="28"/>
          <w:szCs w:val="28"/>
        </w:rPr>
      </w:pPr>
      <w:r w:rsidRPr="0043312D">
        <w:rPr>
          <w:sz w:val="28"/>
          <w:szCs w:val="28"/>
          <w:vertAlign w:val="superscript"/>
        </w:rPr>
        <w:t>2</w:t>
      </w:r>
      <w:r w:rsidRPr="0043312D">
        <w:rPr>
          <w:sz w:val="28"/>
          <w:szCs w:val="28"/>
        </w:rPr>
        <w:t xml:space="preserve">University of Pennsylvania, Philadelphia, Pennsylvania </w:t>
      </w:r>
    </w:p>
    <w:p w14:paraId="44EE4EBD" w14:textId="0EDB8C39" w:rsidR="009A41DC" w:rsidRPr="0043312D" w:rsidRDefault="00F66818" w:rsidP="009A41DC">
      <w:pPr>
        <w:jc w:val="both"/>
        <w:rPr>
          <w:sz w:val="28"/>
          <w:szCs w:val="28"/>
        </w:rPr>
      </w:pPr>
      <w:r w:rsidRPr="0043312D">
        <w:rPr>
          <w:sz w:val="28"/>
          <w:szCs w:val="28"/>
        </w:rPr>
        <w:t>Block copolymer (BCP) materials and their self-assembly ha</w:t>
      </w:r>
      <w:r w:rsidR="00197C50" w:rsidRPr="0043312D">
        <w:rPr>
          <w:sz w:val="28"/>
          <w:szCs w:val="28"/>
        </w:rPr>
        <w:t>s</w:t>
      </w:r>
      <w:r w:rsidRPr="0043312D">
        <w:rPr>
          <w:sz w:val="28"/>
          <w:szCs w:val="28"/>
        </w:rPr>
        <w:t xml:space="preserve"> been widely studied in the last two decades</w:t>
      </w:r>
      <w:r w:rsidR="005D1D22" w:rsidRPr="0043312D">
        <w:rPr>
          <w:sz w:val="28"/>
          <w:szCs w:val="28"/>
        </w:rPr>
        <w:t xml:space="preserve">. BCPs </w:t>
      </w:r>
      <w:r w:rsidR="00BE34F9" w:rsidRPr="0043312D">
        <w:rPr>
          <w:sz w:val="28"/>
          <w:szCs w:val="28"/>
        </w:rPr>
        <w:t>are advantageous in</w:t>
      </w:r>
      <w:r w:rsidR="005D1D22" w:rsidRPr="0043312D">
        <w:rPr>
          <w:sz w:val="28"/>
          <w:szCs w:val="28"/>
        </w:rPr>
        <w:t xml:space="preserve"> generat</w:t>
      </w:r>
      <w:r w:rsidR="00BE34F9" w:rsidRPr="0043312D">
        <w:rPr>
          <w:sz w:val="28"/>
          <w:szCs w:val="28"/>
        </w:rPr>
        <w:t>ing</w:t>
      </w:r>
      <w:r w:rsidR="005D1D22" w:rsidRPr="0043312D">
        <w:rPr>
          <w:sz w:val="28"/>
          <w:szCs w:val="28"/>
        </w:rPr>
        <w:t xml:space="preserve"> </w:t>
      </w:r>
      <w:r w:rsidR="00BE34F9" w:rsidRPr="0043312D">
        <w:rPr>
          <w:sz w:val="28"/>
          <w:szCs w:val="28"/>
        </w:rPr>
        <w:t>p</w:t>
      </w:r>
      <w:r w:rsidR="005D1D22" w:rsidRPr="0043312D">
        <w:rPr>
          <w:sz w:val="28"/>
          <w:szCs w:val="28"/>
        </w:rPr>
        <w:t xml:space="preserve">eriodic patterns </w:t>
      </w:r>
      <w:r w:rsidR="00BE34F9" w:rsidRPr="0043312D">
        <w:rPr>
          <w:sz w:val="28"/>
          <w:szCs w:val="28"/>
        </w:rPr>
        <w:t xml:space="preserve">at nanoscale </w:t>
      </w:r>
      <w:r w:rsidR="005D1D22" w:rsidRPr="0043312D">
        <w:rPr>
          <w:sz w:val="28"/>
          <w:szCs w:val="28"/>
        </w:rPr>
        <w:t>over large areas</w:t>
      </w:r>
      <w:r w:rsidR="00BE34F9" w:rsidRPr="0043312D">
        <w:rPr>
          <w:sz w:val="28"/>
          <w:szCs w:val="28"/>
        </w:rPr>
        <w:t xml:space="preserve"> as well as</w:t>
      </w:r>
      <w:r w:rsidR="005D1D22" w:rsidRPr="0043312D">
        <w:rPr>
          <w:sz w:val="28"/>
          <w:szCs w:val="28"/>
        </w:rPr>
        <w:t xml:space="preserve"> provid</w:t>
      </w:r>
      <w:r w:rsidR="00BE34F9" w:rsidRPr="0043312D">
        <w:rPr>
          <w:sz w:val="28"/>
          <w:szCs w:val="28"/>
        </w:rPr>
        <w:t>ing</w:t>
      </w:r>
      <w:r w:rsidR="005D1D22" w:rsidRPr="0043312D">
        <w:rPr>
          <w:sz w:val="28"/>
          <w:szCs w:val="28"/>
        </w:rPr>
        <w:t xml:space="preserve"> access to a wide range of morphologies and size of features. </w:t>
      </w:r>
      <w:r w:rsidR="00197C50" w:rsidRPr="0043312D">
        <w:rPr>
          <w:sz w:val="28"/>
          <w:szCs w:val="28"/>
        </w:rPr>
        <w:t xml:space="preserve">Hence, </w:t>
      </w:r>
      <w:r w:rsidR="005D1D22" w:rsidRPr="0043312D">
        <w:rPr>
          <w:sz w:val="28"/>
          <w:szCs w:val="28"/>
        </w:rPr>
        <w:t>BCPs are considered to be a promising candidate for microelectronics as sub-10 nm feature sizes over large areas can be achieved in a scalable and cost-effective manner. In this work, we</w:t>
      </w:r>
      <w:r w:rsidRPr="0043312D">
        <w:rPr>
          <w:sz w:val="28"/>
          <w:szCs w:val="28"/>
        </w:rPr>
        <w:t xml:space="preserve"> demonstrate the synthesis </w:t>
      </w:r>
      <w:r w:rsidR="00795B28" w:rsidRPr="0043312D">
        <w:rPr>
          <w:sz w:val="28"/>
          <w:szCs w:val="28"/>
        </w:rPr>
        <w:t>and self-assembly of</w:t>
      </w:r>
      <w:r w:rsidRPr="0043312D">
        <w:rPr>
          <w:sz w:val="28"/>
          <w:szCs w:val="28"/>
        </w:rPr>
        <w:t xml:space="preserve"> poly(3-hydroxystyrene)-</w:t>
      </w:r>
      <w:r w:rsidRPr="0043312D">
        <w:rPr>
          <w:i/>
          <w:sz w:val="28"/>
          <w:szCs w:val="28"/>
        </w:rPr>
        <w:t>block</w:t>
      </w:r>
      <w:r w:rsidRPr="0043312D">
        <w:rPr>
          <w:sz w:val="28"/>
          <w:szCs w:val="28"/>
        </w:rPr>
        <w:t>-poly-(dimethylsiloxane)-</w:t>
      </w:r>
      <w:r w:rsidRPr="0043312D">
        <w:rPr>
          <w:i/>
          <w:iCs/>
          <w:sz w:val="28"/>
          <w:szCs w:val="28"/>
        </w:rPr>
        <w:t>block</w:t>
      </w:r>
      <w:r w:rsidRPr="0043312D">
        <w:rPr>
          <w:sz w:val="28"/>
          <w:szCs w:val="28"/>
        </w:rPr>
        <w:t>-poly(3-hydroxystyrene) (P3HS-</w:t>
      </w:r>
      <w:r w:rsidRPr="0043312D">
        <w:rPr>
          <w:i/>
          <w:sz w:val="28"/>
          <w:szCs w:val="28"/>
        </w:rPr>
        <w:t>b</w:t>
      </w:r>
      <w:r w:rsidRPr="0043312D">
        <w:rPr>
          <w:sz w:val="28"/>
          <w:szCs w:val="28"/>
        </w:rPr>
        <w:t>-PDMS-</w:t>
      </w:r>
      <w:r w:rsidRPr="0043312D">
        <w:rPr>
          <w:i/>
          <w:sz w:val="28"/>
          <w:szCs w:val="28"/>
        </w:rPr>
        <w:t>b</w:t>
      </w:r>
      <w:r w:rsidRPr="0043312D">
        <w:rPr>
          <w:sz w:val="28"/>
          <w:szCs w:val="28"/>
        </w:rPr>
        <w:t>-P3HS) triblock copolymers</w:t>
      </w:r>
      <w:r w:rsidR="00795B28" w:rsidRPr="0043312D">
        <w:rPr>
          <w:sz w:val="28"/>
          <w:szCs w:val="28"/>
        </w:rPr>
        <w:t xml:space="preserve">. </w:t>
      </w:r>
      <w:r w:rsidR="00613CEC" w:rsidRPr="0043312D">
        <w:rPr>
          <w:sz w:val="28"/>
          <w:szCs w:val="28"/>
        </w:rPr>
        <w:t xml:space="preserve">The incorporation of </w:t>
      </w:r>
      <w:proofErr w:type="spellStart"/>
      <w:r w:rsidR="00613CEC" w:rsidRPr="0043312D">
        <w:rPr>
          <w:sz w:val="28"/>
          <w:szCs w:val="28"/>
        </w:rPr>
        <w:t>hydroxystyrene</w:t>
      </w:r>
      <w:proofErr w:type="spellEnd"/>
      <w:r w:rsidR="00613CEC" w:rsidRPr="0043312D">
        <w:rPr>
          <w:sz w:val="28"/>
          <w:szCs w:val="28"/>
        </w:rPr>
        <w:t xml:space="preserve"> and PDMS not only dramatically increase</w:t>
      </w:r>
      <w:r w:rsidR="00197C50" w:rsidRPr="0043312D">
        <w:rPr>
          <w:sz w:val="28"/>
          <w:szCs w:val="28"/>
        </w:rPr>
        <w:t>s</w:t>
      </w:r>
      <w:r w:rsidR="00613CEC" w:rsidRPr="0043312D">
        <w:rPr>
          <w:sz w:val="28"/>
          <w:szCs w:val="28"/>
        </w:rPr>
        <w:t xml:space="preserve"> the </w:t>
      </w:r>
      <w:r w:rsidR="00197C50" w:rsidRPr="0043312D">
        <w:rPr>
          <w:sz w:val="28"/>
          <w:szCs w:val="28"/>
        </w:rPr>
        <w:t xml:space="preserve">effective </w:t>
      </w:r>
      <w:r w:rsidR="00613CEC" w:rsidRPr="0043312D">
        <w:rPr>
          <w:sz w:val="28"/>
          <w:szCs w:val="28"/>
        </w:rPr>
        <w:t xml:space="preserve">interaction parameter, but also offers inherent etch contrast </w:t>
      </w:r>
      <w:r w:rsidR="00197C50" w:rsidRPr="0043312D">
        <w:rPr>
          <w:sz w:val="28"/>
          <w:szCs w:val="28"/>
        </w:rPr>
        <w:t>between the blocks</w:t>
      </w:r>
      <w:r w:rsidR="00613CEC" w:rsidRPr="0043312D">
        <w:rPr>
          <w:sz w:val="28"/>
          <w:szCs w:val="28"/>
        </w:rPr>
        <w:t xml:space="preserve">. The triblock architecture </w:t>
      </w:r>
      <w:r w:rsidR="00BE34F9" w:rsidRPr="0043312D">
        <w:rPr>
          <w:sz w:val="28"/>
          <w:szCs w:val="28"/>
        </w:rPr>
        <w:t xml:space="preserve">also </w:t>
      </w:r>
      <w:r w:rsidR="00CE24A2" w:rsidRPr="0043312D">
        <w:rPr>
          <w:sz w:val="28"/>
          <w:szCs w:val="28"/>
        </w:rPr>
        <w:t xml:space="preserve">has a higher tendency towards forming perpendicular nanostructures </w:t>
      </w:r>
      <w:r w:rsidR="00613CEC" w:rsidRPr="0043312D">
        <w:rPr>
          <w:sz w:val="28"/>
          <w:szCs w:val="28"/>
        </w:rPr>
        <w:t xml:space="preserve">compared with the </w:t>
      </w:r>
      <w:proofErr w:type="spellStart"/>
      <w:r w:rsidR="00613CEC" w:rsidRPr="0043312D">
        <w:rPr>
          <w:sz w:val="28"/>
          <w:szCs w:val="28"/>
        </w:rPr>
        <w:t>diblocks</w:t>
      </w:r>
      <w:proofErr w:type="spellEnd"/>
      <w:r w:rsidR="00613CEC" w:rsidRPr="0043312D">
        <w:rPr>
          <w:sz w:val="28"/>
          <w:szCs w:val="28"/>
        </w:rPr>
        <w:t xml:space="preserve">. </w:t>
      </w:r>
      <w:r w:rsidR="00926A02" w:rsidRPr="0043312D">
        <w:rPr>
          <w:sz w:val="28"/>
          <w:szCs w:val="28"/>
        </w:rPr>
        <w:t xml:space="preserve">Hydroxy-terminated PDMS polymers were functionalized to initiate the atom transfer radical polymerization of an acetal protected 3-hydroxystyrene monomer. The target </w:t>
      </w:r>
      <w:proofErr w:type="spellStart"/>
      <w:r w:rsidR="00926A02" w:rsidRPr="0043312D">
        <w:rPr>
          <w:sz w:val="28"/>
          <w:szCs w:val="28"/>
        </w:rPr>
        <w:t>triblocks</w:t>
      </w:r>
      <w:proofErr w:type="spellEnd"/>
      <w:r w:rsidR="00926A02" w:rsidRPr="0043312D">
        <w:rPr>
          <w:sz w:val="28"/>
          <w:szCs w:val="28"/>
        </w:rPr>
        <w:t xml:space="preserve"> were achieved after a subsequent deprotection </w:t>
      </w:r>
      <w:r w:rsidR="00197C50" w:rsidRPr="0043312D">
        <w:rPr>
          <w:sz w:val="28"/>
          <w:szCs w:val="28"/>
        </w:rPr>
        <w:t xml:space="preserve">of the acetal protecting group, </w:t>
      </w:r>
      <w:r w:rsidR="00926A02" w:rsidRPr="0043312D">
        <w:rPr>
          <w:sz w:val="28"/>
          <w:szCs w:val="28"/>
        </w:rPr>
        <w:t>under mild acidic conditions</w:t>
      </w:r>
      <w:r w:rsidR="00BE34F9" w:rsidRPr="0043312D">
        <w:rPr>
          <w:sz w:val="28"/>
          <w:szCs w:val="28"/>
        </w:rPr>
        <w:t xml:space="preserve"> after polymerization</w:t>
      </w:r>
      <w:r w:rsidR="00926A02" w:rsidRPr="0043312D">
        <w:rPr>
          <w:sz w:val="28"/>
          <w:szCs w:val="28"/>
        </w:rPr>
        <w:t xml:space="preserve">. </w:t>
      </w:r>
      <w:r w:rsidR="00795B28" w:rsidRPr="0043312D">
        <w:rPr>
          <w:sz w:val="28"/>
          <w:szCs w:val="28"/>
        </w:rPr>
        <w:t xml:space="preserve">The resulting </w:t>
      </w:r>
      <w:proofErr w:type="spellStart"/>
      <w:r w:rsidR="00795B28" w:rsidRPr="0043312D">
        <w:rPr>
          <w:sz w:val="28"/>
          <w:szCs w:val="28"/>
        </w:rPr>
        <w:t>triblocks</w:t>
      </w:r>
      <w:proofErr w:type="spellEnd"/>
      <w:r w:rsidR="00795B28" w:rsidRPr="0043312D">
        <w:rPr>
          <w:sz w:val="28"/>
          <w:szCs w:val="28"/>
        </w:rPr>
        <w:t xml:space="preserve"> have </w:t>
      </w:r>
      <w:proofErr w:type="spellStart"/>
      <w:r w:rsidR="00795B28" w:rsidRPr="0043312D">
        <w:rPr>
          <w:sz w:val="28"/>
          <w:szCs w:val="28"/>
        </w:rPr>
        <w:t>dispersit</w:t>
      </w:r>
      <w:r w:rsidR="00197C50" w:rsidRPr="0043312D">
        <w:rPr>
          <w:sz w:val="28"/>
          <w:szCs w:val="28"/>
        </w:rPr>
        <w:t>ies</w:t>
      </w:r>
      <w:proofErr w:type="spellEnd"/>
      <w:r w:rsidR="00795B28" w:rsidRPr="0043312D">
        <w:rPr>
          <w:sz w:val="28"/>
          <w:szCs w:val="28"/>
        </w:rPr>
        <w:t xml:space="preserve"> ranging from 1.10 to 1.26 and the synthesis provides robust control over molecular weights and volume fractions. </w:t>
      </w:r>
      <w:r w:rsidRPr="0043312D">
        <w:rPr>
          <w:sz w:val="28"/>
          <w:szCs w:val="28"/>
        </w:rPr>
        <w:t>The large chemical incompatibility of the blocks enabled the formation of ordered structures at low molecular weights that yielded lamellar periodicities as small as 9.3 nm</w:t>
      </w:r>
      <w:r w:rsidR="00795B28" w:rsidRPr="0043312D">
        <w:rPr>
          <w:sz w:val="28"/>
          <w:szCs w:val="28"/>
        </w:rPr>
        <w:t>.</w:t>
      </w:r>
      <w:r w:rsidR="009A41DC" w:rsidRPr="0043312D">
        <w:rPr>
          <w:sz w:val="28"/>
          <w:szCs w:val="28"/>
        </w:rPr>
        <w:t xml:space="preserve"> Smaller dimensions were obtained </w:t>
      </w:r>
      <w:r w:rsidR="008B1083" w:rsidRPr="0043312D">
        <w:rPr>
          <w:sz w:val="28"/>
          <w:szCs w:val="28"/>
        </w:rPr>
        <w:t>by</w:t>
      </w:r>
      <w:r w:rsidR="009A41DC" w:rsidRPr="0043312D">
        <w:rPr>
          <w:sz w:val="28"/>
          <w:szCs w:val="28"/>
        </w:rPr>
        <w:t xml:space="preserve"> </w:t>
      </w:r>
      <w:proofErr w:type="spellStart"/>
      <w:r w:rsidR="009A41DC" w:rsidRPr="0043312D">
        <w:rPr>
          <w:sz w:val="28"/>
          <w:szCs w:val="28"/>
        </w:rPr>
        <w:t>triblocks</w:t>
      </w:r>
      <w:proofErr w:type="spellEnd"/>
      <w:r w:rsidR="009A41DC" w:rsidRPr="0043312D">
        <w:rPr>
          <w:sz w:val="28"/>
          <w:szCs w:val="28"/>
        </w:rPr>
        <w:t xml:space="preserve"> than that of the corresponding </w:t>
      </w:r>
      <w:proofErr w:type="spellStart"/>
      <w:r w:rsidR="009A41DC" w:rsidRPr="0043312D">
        <w:rPr>
          <w:sz w:val="28"/>
          <w:szCs w:val="28"/>
        </w:rPr>
        <w:t>diblocks</w:t>
      </w:r>
      <w:proofErr w:type="spellEnd"/>
      <w:r w:rsidR="009A41DC" w:rsidRPr="0043312D">
        <w:rPr>
          <w:sz w:val="28"/>
          <w:szCs w:val="28"/>
        </w:rPr>
        <w:t xml:space="preserve"> with </w:t>
      </w:r>
      <w:r w:rsidR="00BE34F9" w:rsidRPr="0043312D">
        <w:rPr>
          <w:sz w:val="28"/>
          <w:szCs w:val="28"/>
        </w:rPr>
        <w:t>similar</w:t>
      </w:r>
      <w:r w:rsidR="009A41DC" w:rsidRPr="0043312D">
        <w:rPr>
          <w:sz w:val="28"/>
          <w:szCs w:val="28"/>
        </w:rPr>
        <w:t xml:space="preserve"> molecular weights. The phase diagram of this triblock was mapped out based on the volume fractions and morphologies. The lamellar and cylinder morphology windows were observed at lower volume fractions of the P3HS block, relative to the </w:t>
      </w:r>
      <w:proofErr w:type="spellStart"/>
      <w:r w:rsidR="009A41DC" w:rsidRPr="0043312D">
        <w:rPr>
          <w:sz w:val="28"/>
          <w:szCs w:val="28"/>
        </w:rPr>
        <w:t>diblocks</w:t>
      </w:r>
      <w:proofErr w:type="spellEnd"/>
      <w:r w:rsidR="009A41DC" w:rsidRPr="0043312D">
        <w:rPr>
          <w:sz w:val="28"/>
          <w:szCs w:val="28"/>
        </w:rPr>
        <w:t xml:space="preserve">. </w:t>
      </w:r>
      <w:r w:rsidR="00613CEC" w:rsidRPr="0043312D">
        <w:rPr>
          <w:sz w:val="28"/>
          <w:szCs w:val="28"/>
        </w:rPr>
        <w:t>T</w:t>
      </w:r>
      <w:r w:rsidR="009A41DC" w:rsidRPr="0043312D">
        <w:rPr>
          <w:sz w:val="28"/>
          <w:szCs w:val="28"/>
        </w:rPr>
        <w:t>h</w:t>
      </w:r>
      <w:r w:rsidR="00613CEC" w:rsidRPr="0043312D">
        <w:rPr>
          <w:sz w:val="28"/>
          <w:szCs w:val="28"/>
        </w:rPr>
        <w:t>is</w:t>
      </w:r>
      <w:r w:rsidR="009A41DC" w:rsidRPr="0043312D">
        <w:rPr>
          <w:sz w:val="28"/>
          <w:szCs w:val="28"/>
        </w:rPr>
        <w:t xml:space="preserve"> phase diagram shift is ascribed to the dispersity of the middle block relative to the end blocks</w:t>
      </w:r>
      <w:r w:rsidR="00BE34F9" w:rsidRPr="0043312D">
        <w:rPr>
          <w:sz w:val="28"/>
          <w:szCs w:val="28"/>
        </w:rPr>
        <w:t>,</w:t>
      </w:r>
      <w:r w:rsidR="00613CEC" w:rsidRPr="0043312D">
        <w:rPr>
          <w:sz w:val="28"/>
          <w:szCs w:val="28"/>
        </w:rPr>
        <w:t xml:space="preserve"> which was confirmed by cleaving the end blocks for dispersity study</w:t>
      </w:r>
      <w:r w:rsidR="009A41DC" w:rsidRPr="0043312D">
        <w:rPr>
          <w:sz w:val="28"/>
          <w:szCs w:val="28"/>
        </w:rPr>
        <w:t xml:space="preserve">. Thin-film study on </w:t>
      </w:r>
      <w:proofErr w:type="spellStart"/>
      <w:r w:rsidR="009A41DC" w:rsidRPr="0043312D">
        <w:rPr>
          <w:sz w:val="28"/>
          <w:szCs w:val="28"/>
        </w:rPr>
        <w:t>diblock</w:t>
      </w:r>
      <w:proofErr w:type="spellEnd"/>
      <w:r w:rsidR="009A41DC" w:rsidRPr="0043312D">
        <w:rPr>
          <w:sz w:val="28"/>
          <w:szCs w:val="28"/>
        </w:rPr>
        <w:t xml:space="preserve"> and triblock also confirmed the advantages of triblock architecture for thin-film assembly. </w:t>
      </w:r>
    </w:p>
    <w:p w14:paraId="679467FF" w14:textId="4240782A" w:rsidR="00F66818" w:rsidRPr="0043312D" w:rsidRDefault="0043312D" w:rsidP="0043312D">
      <w:pPr>
        <w:jc w:val="center"/>
        <w:rPr>
          <w:sz w:val="24"/>
          <w:szCs w:val="24"/>
        </w:rPr>
      </w:pPr>
      <w:r>
        <w:rPr>
          <w:noProof/>
          <w:sz w:val="24"/>
          <w:szCs w:val="24"/>
        </w:rPr>
        <w:lastRenderedPageBreak/>
        <w:drawing>
          <wp:inline distT="0" distB="0" distL="0" distR="0" wp14:anchorId="1B5E224C" wp14:editId="14920E6F">
            <wp:extent cx="4197350" cy="2838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7350" cy="2838450"/>
                    </a:xfrm>
                    <a:prstGeom prst="rect">
                      <a:avLst/>
                    </a:prstGeom>
                    <a:noFill/>
                    <a:ln>
                      <a:noFill/>
                    </a:ln>
                  </pic:spPr>
                </pic:pic>
              </a:graphicData>
            </a:graphic>
          </wp:inline>
        </w:drawing>
      </w:r>
    </w:p>
    <w:sectPr w:rsidR="00F66818" w:rsidRPr="00433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18"/>
    <w:rsid w:val="00146163"/>
    <w:rsid w:val="00197C50"/>
    <w:rsid w:val="0043312D"/>
    <w:rsid w:val="00572113"/>
    <w:rsid w:val="005D1D22"/>
    <w:rsid w:val="00613CEC"/>
    <w:rsid w:val="00795B28"/>
    <w:rsid w:val="008B1083"/>
    <w:rsid w:val="00926A02"/>
    <w:rsid w:val="009A41DC"/>
    <w:rsid w:val="00BE34F9"/>
    <w:rsid w:val="00BF5067"/>
    <w:rsid w:val="00C241EF"/>
    <w:rsid w:val="00CE24A2"/>
    <w:rsid w:val="00F6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5214"/>
  <w15:chartTrackingRefBased/>
  <w15:docId w15:val="{C1D258BB-F765-49B0-888D-FF9411D6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Sun</dc:creator>
  <cp:keywords/>
  <dc:description/>
  <cp:lastModifiedBy>Jian Sun</cp:lastModifiedBy>
  <cp:revision>4</cp:revision>
  <dcterms:created xsi:type="dcterms:W3CDTF">2021-10-06T14:34:00Z</dcterms:created>
  <dcterms:modified xsi:type="dcterms:W3CDTF">2022-02-24T19:09:00Z</dcterms:modified>
</cp:coreProperties>
</file>