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A3A" w14:textId="4A5E1FE1" w:rsidR="003B58CC" w:rsidRDefault="003B58CC" w:rsidP="003B58CC">
      <w:pPr>
        <w:spacing w:after="0" w:line="240" w:lineRule="auto"/>
        <w:jc w:val="center"/>
        <w:rPr>
          <w:rFonts w:ascii="Open Sans" w:eastAsia="Times New Roman" w:hAnsi="Open Sans" w:cs="Open Sans"/>
          <w:b/>
          <w:bCs/>
          <w:sz w:val="28"/>
          <w:szCs w:val="28"/>
        </w:rPr>
      </w:pPr>
      <w:r w:rsidRPr="003B58CC">
        <w:rPr>
          <w:rFonts w:ascii="Open Sans" w:eastAsia="Times New Roman" w:hAnsi="Open Sans" w:cs="Open Sans"/>
          <w:b/>
          <w:bCs/>
          <w:sz w:val="28"/>
          <w:szCs w:val="28"/>
        </w:rPr>
        <w:fldChar w:fldCharType="begin"/>
      </w:r>
      <w:r w:rsidRPr="003B58CC">
        <w:rPr>
          <w:rFonts w:ascii="Open Sans" w:eastAsia="Times New Roman" w:hAnsi="Open Sans" w:cs="Open Sans"/>
          <w:b/>
          <w:bCs/>
          <w:sz w:val="28"/>
          <w:szCs w:val="28"/>
        </w:rPr>
        <w:instrText xml:space="preserve"> HYPERLINK "https://acs.digitellinc.com/acs/live/22/page/677/3?eventSearchInput=&amp;eventSearchDateTimeStart=&amp;eventSearchDateTimeEnd=&amp;eventSearchTrack%5b%5d=201" \l "sessionCollapse393946" </w:instrText>
      </w:r>
      <w:r w:rsidRPr="003B58CC">
        <w:rPr>
          <w:rFonts w:ascii="Open Sans" w:eastAsia="Times New Roman" w:hAnsi="Open Sans" w:cs="Open Sans"/>
          <w:b/>
          <w:bCs/>
          <w:sz w:val="28"/>
          <w:szCs w:val="28"/>
        </w:rPr>
        <w:fldChar w:fldCharType="separate"/>
      </w:r>
      <w:r w:rsidRPr="003B58CC">
        <w:rPr>
          <w:rFonts w:ascii="Open Sans" w:eastAsia="Times New Roman" w:hAnsi="Open Sans" w:cs="Open Sans"/>
          <w:b/>
          <w:bCs/>
          <w:sz w:val="28"/>
          <w:szCs w:val="28"/>
        </w:rPr>
        <w:t xml:space="preserve">Synthesis of degradable polymers via metathesis reaction of ruthenium </w:t>
      </w:r>
      <w:proofErr w:type="spellStart"/>
      <w:r w:rsidRPr="003B58CC">
        <w:rPr>
          <w:rFonts w:ascii="Open Sans" w:eastAsia="Times New Roman" w:hAnsi="Open Sans" w:cs="Open Sans"/>
          <w:b/>
          <w:bCs/>
          <w:sz w:val="28"/>
          <w:szCs w:val="28"/>
        </w:rPr>
        <w:t>fischer</w:t>
      </w:r>
      <w:proofErr w:type="spellEnd"/>
      <w:r w:rsidRPr="003B58CC">
        <w:rPr>
          <w:rFonts w:ascii="Open Sans" w:eastAsia="Times New Roman" w:hAnsi="Open Sans" w:cs="Open Sans"/>
          <w:b/>
          <w:bCs/>
          <w:sz w:val="28"/>
          <w:szCs w:val="28"/>
        </w:rPr>
        <w:t xml:space="preserve"> carbenes</w:t>
      </w:r>
      <w:r w:rsidRPr="003B58CC">
        <w:rPr>
          <w:rFonts w:ascii="Open Sans" w:eastAsia="Times New Roman" w:hAnsi="Open Sans" w:cs="Open Sans"/>
          <w:b/>
          <w:bCs/>
          <w:sz w:val="28"/>
          <w:szCs w:val="28"/>
        </w:rPr>
        <w:fldChar w:fldCharType="end"/>
      </w:r>
    </w:p>
    <w:p w14:paraId="17F9D807" w14:textId="77777777" w:rsidR="003B58CC" w:rsidRPr="003B58CC" w:rsidRDefault="003B58CC" w:rsidP="003B58CC">
      <w:pPr>
        <w:spacing w:after="0" w:line="240" w:lineRule="auto"/>
        <w:jc w:val="center"/>
        <w:rPr>
          <w:rFonts w:ascii="Open Sans" w:eastAsia="Times New Roman" w:hAnsi="Open Sans" w:cs="Open Sans"/>
          <w:b/>
          <w:bCs/>
          <w:sz w:val="28"/>
          <w:szCs w:val="28"/>
        </w:rPr>
      </w:pPr>
    </w:p>
    <w:p w14:paraId="35E2767E" w14:textId="44F71FB3" w:rsidR="003B58CC" w:rsidRPr="003B58CC" w:rsidRDefault="003B58CC" w:rsidP="003B58CC">
      <w:pPr>
        <w:spacing w:after="0" w:line="240" w:lineRule="auto"/>
        <w:jc w:val="center"/>
        <w:rPr>
          <w:rFonts w:ascii="Open Sans" w:eastAsia="Times New Roman" w:hAnsi="Open Sans" w:cs="Open Sans"/>
          <w:i/>
          <w:iCs/>
          <w:sz w:val="24"/>
          <w:szCs w:val="24"/>
        </w:rPr>
      </w:pPr>
      <w:hyperlink r:id="rId4" w:history="1">
        <w:proofErr w:type="spellStart"/>
        <w:r w:rsidRPr="003B58CC">
          <w:rPr>
            <w:rFonts w:ascii="Open Sans" w:eastAsia="Times New Roman" w:hAnsi="Open Sans" w:cs="Open Sans"/>
            <w:i/>
            <w:iCs/>
            <w:sz w:val="24"/>
            <w:szCs w:val="24"/>
          </w:rPr>
          <w:t>Xuelin</w:t>
        </w:r>
        <w:proofErr w:type="spellEnd"/>
        <w:r w:rsidRPr="003B58CC">
          <w:rPr>
            <w:rFonts w:ascii="Open Sans" w:eastAsia="Times New Roman" w:hAnsi="Open Sans" w:cs="Open Sans"/>
            <w:i/>
            <w:iCs/>
            <w:sz w:val="24"/>
            <w:szCs w:val="24"/>
          </w:rPr>
          <w:t xml:space="preserve"> Sui</w:t>
        </w:r>
      </w:hyperlink>
      <w:r w:rsidRPr="003B58CC">
        <w:rPr>
          <w:rFonts w:ascii="Open Sans" w:eastAsia="Times New Roman" w:hAnsi="Open Sans" w:cs="Open Sans"/>
          <w:i/>
          <w:iCs/>
          <w:sz w:val="24"/>
          <w:szCs w:val="24"/>
        </w:rPr>
        <w:t xml:space="preserve"> and</w:t>
      </w:r>
      <w:r w:rsidRPr="003B58CC">
        <w:rPr>
          <w:rFonts w:ascii="Open Sans" w:eastAsia="Times New Roman" w:hAnsi="Open Sans" w:cs="Open Sans"/>
          <w:i/>
          <w:iCs/>
          <w:sz w:val="24"/>
          <w:szCs w:val="24"/>
        </w:rPr>
        <w:t> </w:t>
      </w:r>
      <w:hyperlink r:id="rId5" w:history="1">
        <w:r w:rsidRPr="003B58CC">
          <w:rPr>
            <w:rFonts w:ascii="Open Sans" w:eastAsia="Times New Roman" w:hAnsi="Open Sans" w:cs="Open Sans"/>
            <w:i/>
            <w:iCs/>
            <w:sz w:val="24"/>
            <w:szCs w:val="24"/>
          </w:rPr>
          <w:t xml:space="preserve">Will </w:t>
        </w:r>
        <w:proofErr w:type="spellStart"/>
        <w:r w:rsidRPr="003B58CC">
          <w:rPr>
            <w:rFonts w:ascii="Open Sans" w:eastAsia="Times New Roman" w:hAnsi="Open Sans" w:cs="Open Sans"/>
            <w:i/>
            <w:iCs/>
            <w:sz w:val="24"/>
            <w:szCs w:val="24"/>
          </w:rPr>
          <w:t>Gutekunst</w:t>
        </w:r>
        <w:proofErr w:type="spellEnd"/>
      </w:hyperlink>
    </w:p>
    <w:p w14:paraId="5787E72C" w14:textId="75021889" w:rsidR="003B58CC" w:rsidRPr="003B58CC" w:rsidRDefault="003B58CC" w:rsidP="003B58CC">
      <w:pPr>
        <w:spacing w:after="0" w:line="240" w:lineRule="auto"/>
        <w:jc w:val="center"/>
        <w:rPr>
          <w:rFonts w:ascii="Open Sans" w:hAnsi="Open Sans" w:cs="Open Sans"/>
          <w:i/>
          <w:iCs/>
          <w:sz w:val="24"/>
          <w:szCs w:val="24"/>
          <w:shd w:val="clear" w:color="auto" w:fill="FFFFFF"/>
        </w:rPr>
      </w:pPr>
      <w:r w:rsidRPr="003B58CC">
        <w:rPr>
          <w:rFonts w:ascii="Open Sans" w:hAnsi="Open Sans" w:cs="Open Sans"/>
          <w:i/>
          <w:iCs/>
          <w:sz w:val="24"/>
          <w:szCs w:val="24"/>
          <w:shd w:val="clear" w:color="auto" w:fill="FFFFFF"/>
        </w:rPr>
        <w:t>Georgia Institute of Technology</w:t>
      </w:r>
    </w:p>
    <w:p w14:paraId="6C7446DD" w14:textId="77777777" w:rsidR="003B58CC" w:rsidRPr="003B58CC" w:rsidRDefault="003B58CC" w:rsidP="003B58CC">
      <w:pPr>
        <w:spacing w:after="0" w:line="240" w:lineRule="auto"/>
        <w:rPr>
          <w:rFonts w:ascii="Open Sans" w:eastAsia="Times New Roman" w:hAnsi="Open Sans" w:cs="Open Sans"/>
          <w:color w:val="333333"/>
          <w:sz w:val="20"/>
          <w:szCs w:val="20"/>
        </w:rPr>
      </w:pPr>
    </w:p>
    <w:p w14:paraId="46E90EBD" w14:textId="77777777" w:rsidR="003B58CC" w:rsidRPr="003B58CC" w:rsidRDefault="003B58CC" w:rsidP="003B58CC">
      <w:pPr>
        <w:spacing w:after="0" w:line="240" w:lineRule="auto"/>
        <w:rPr>
          <w:rFonts w:ascii="Times New Roman" w:eastAsia="Times New Roman" w:hAnsi="Times New Roman" w:cs="Times New Roman"/>
          <w:sz w:val="21"/>
          <w:szCs w:val="21"/>
        </w:rPr>
      </w:pPr>
      <w:r w:rsidRPr="003B58CC">
        <w:rPr>
          <w:rFonts w:ascii="Open Sans" w:eastAsia="Times New Roman" w:hAnsi="Open Sans" w:cs="Open Sans"/>
          <w:color w:val="333333"/>
          <w:sz w:val="21"/>
          <w:szCs w:val="21"/>
        </w:rPr>
        <w:t xml:space="preserve">Degradable polymers are an important field of research in polymer science and have been used in a wide range of applications including (nano)medicine, microelectronics, and environmental protection. As one of the most efficient methods to construct olefinic polymers, ring-opening metathesis polymerization (ROMP) can endow the obtained polymers with an impressive range of functionalities, but the materials are usually persistent in the environment due to the high stability of all carbon backbone. Ruthenium Fischer-type carbenes have usually been demonstrated as inactive species in metathesis reactions and are frequently regarded as inert species in ring-opening metathesis polymerization. In this presentation, these complexes play a crucial role in cascade alternating ring-opening metathesis polymerization targeting to generate degradable </w:t>
      </w:r>
      <w:proofErr w:type="gramStart"/>
      <w:r w:rsidRPr="003B58CC">
        <w:rPr>
          <w:rFonts w:ascii="Open Sans" w:eastAsia="Times New Roman" w:hAnsi="Open Sans" w:cs="Open Sans"/>
          <w:color w:val="333333"/>
          <w:sz w:val="21"/>
          <w:szCs w:val="21"/>
        </w:rPr>
        <w:t>poly(</w:t>
      </w:r>
      <w:proofErr w:type="gramEnd"/>
      <w:r w:rsidRPr="003B58CC">
        <w:rPr>
          <w:rFonts w:ascii="Open Sans" w:eastAsia="Times New Roman" w:hAnsi="Open Sans" w:cs="Open Sans"/>
          <w:color w:val="333333"/>
          <w:sz w:val="21"/>
          <w:szCs w:val="21"/>
        </w:rPr>
        <w:t xml:space="preserve">enol ether)s. When </w:t>
      </w:r>
      <w:proofErr w:type="spellStart"/>
      <w:r w:rsidRPr="003B58CC">
        <w:rPr>
          <w:rFonts w:ascii="Open Sans" w:eastAsia="Times New Roman" w:hAnsi="Open Sans" w:cs="Open Sans"/>
          <w:color w:val="333333"/>
          <w:sz w:val="21"/>
          <w:szCs w:val="21"/>
        </w:rPr>
        <w:t>enyne</w:t>
      </w:r>
      <w:proofErr w:type="spellEnd"/>
      <w:r w:rsidRPr="003B58CC">
        <w:rPr>
          <w:rFonts w:ascii="Open Sans" w:eastAsia="Times New Roman" w:hAnsi="Open Sans" w:cs="Open Sans"/>
          <w:color w:val="333333"/>
          <w:sz w:val="21"/>
          <w:szCs w:val="21"/>
        </w:rPr>
        <w:t xml:space="preserve"> or acyclic </w:t>
      </w:r>
      <w:proofErr w:type="spellStart"/>
      <w:r w:rsidRPr="003B58CC">
        <w:rPr>
          <w:rFonts w:ascii="Open Sans" w:eastAsia="Times New Roman" w:hAnsi="Open Sans" w:cs="Open Sans"/>
          <w:color w:val="333333"/>
          <w:sz w:val="21"/>
          <w:szCs w:val="21"/>
        </w:rPr>
        <w:t>diyne</w:t>
      </w:r>
      <w:proofErr w:type="spellEnd"/>
      <w:r w:rsidRPr="003B58CC">
        <w:rPr>
          <w:rFonts w:ascii="Open Sans" w:eastAsia="Times New Roman" w:hAnsi="Open Sans" w:cs="Open Sans"/>
          <w:color w:val="333333"/>
          <w:sz w:val="21"/>
          <w:szCs w:val="21"/>
        </w:rPr>
        <w:t xml:space="preserve"> monomers are combined with low-strain cyclic enol ethers, a controlled chain-growth copolymerization occurs resulting in degradable polymers decorated by hydrolytically labile enol ether backbones with high degrees of alternation (&gt;90% alternating dyads), low </w:t>
      </w:r>
      <w:proofErr w:type="spellStart"/>
      <w:r w:rsidRPr="003B58CC">
        <w:rPr>
          <w:rFonts w:ascii="Open Sans" w:eastAsia="Times New Roman" w:hAnsi="Open Sans" w:cs="Open Sans"/>
          <w:color w:val="333333"/>
          <w:sz w:val="21"/>
          <w:szCs w:val="21"/>
        </w:rPr>
        <w:t>dispersities</w:t>
      </w:r>
      <w:proofErr w:type="spellEnd"/>
      <w:r w:rsidRPr="003B58CC">
        <w:rPr>
          <w:rFonts w:ascii="Open Sans" w:eastAsia="Times New Roman" w:hAnsi="Open Sans" w:cs="Open Sans"/>
          <w:color w:val="333333"/>
          <w:sz w:val="21"/>
          <w:szCs w:val="21"/>
        </w:rPr>
        <w:t xml:space="preserve">, and targetable molecular weights. Due to the controlled behavior, this methodology is amenable to the synthesis of alternating </w:t>
      </w:r>
      <w:proofErr w:type="spellStart"/>
      <w:r w:rsidRPr="003B58CC">
        <w:rPr>
          <w:rFonts w:ascii="Open Sans" w:eastAsia="Times New Roman" w:hAnsi="Open Sans" w:cs="Open Sans"/>
          <w:color w:val="333333"/>
          <w:sz w:val="21"/>
          <w:szCs w:val="21"/>
        </w:rPr>
        <w:t>diblock</w:t>
      </w:r>
      <w:proofErr w:type="spellEnd"/>
      <w:r w:rsidRPr="003B58CC">
        <w:rPr>
          <w:rFonts w:ascii="Open Sans" w:eastAsia="Times New Roman" w:hAnsi="Open Sans" w:cs="Open Sans"/>
          <w:color w:val="333333"/>
          <w:sz w:val="21"/>
          <w:szCs w:val="21"/>
        </w:rPr>
        <w:t xml:space="preserve"> polymers with combinations of </w:t>
      </w:r>
      <w:proofErr w:type="spellStart"/>
      <w:r w:rsidRPr="003B58CC">
        <w:rPr>
          <w:rFonts w:ascii="Open Sans" w:eastAsia="Times New Roman" w:hAnsi="Open Sans" w:cs="Open Sans"/>
          <w:color w:val="333333"/>
          <w:sz w:val="21"/>
          <w:szCs w:val="21"/>
        </w:rPr>
        <w:t>enyne-enyne</w:t>
      </w:r>
      <w:proofErr w:type="spellEnd"/>
      <w:r w:rsidRPr="003B58CC">
        <w:rPr>
          <w:rFonts w:ascii="Open Sans" w:eastAsia="Times New Roman" w:hAnsi="Open Sans" w:cs="Open Sans"/>
          <w:color w:val="333333"/>
          <w:sz w:val="21"/>
          <w:szCs w:val="21"/>
        </w:rPr>
        <w:t xml:space="preserve"> or </w:t>
      </w:r>
      <w:proofErr w:type="spellStart"/>
      <w:r w:rsidRPr="003B58CC">
        <w:rPr>
          <w:rFonts w:ascii="Open Sans" w:eastAsia="Times New Roman" w:hAnsi="Open Sans" w:cs="Open Sans"/>
          <w:color w:val="333333"/>
          <w:sz w:val="21"/>
          <w:szCs w:val="21"/>
        </w:rPr>
        <w:t>diyne-enyne</w:t>
      </w:r>
      <w:proofErr w:type="spellEnd"/>
      <w:r w:rsidRPr="003B58CC">
        <w:rPr>
          <w:rFonts w:ascii="Open Sans" w:eastAsia="Times New Roman" w:hAnsi="Open Sans" w:cs="Open Sans"/>
          <w:color w:val="333333"/>
          <w:sz w:val="21"/>
          <w:szCs w:val="21"/>
        </w:rPr>
        <w:t xml:space="preserve"> blocks. All the obtained polymers can be degraded into small-molecule fragments under aqueous acidic conditions. This work furthers the potential of Fischer-type ruthenium alkylidenes in polymerization strategies and presents new avenues for the generation of functional metathesis materials.</w:t>
      </w:r>
    </w:p>
    <w:p w14:paraId="75E74C16" w14:textId="460499EF" w:rsidR="003B58CC" w:rsidRPr="003B58CC" w:rsidRDefault="003B58CC" w:rsidP="003B58CC">
      <w:pPr>
        <w:spacing w:after="0" w:line="240" w:lineRule="auto"/>
        <w:rPr>
          <w:rFonts w:ascii="Times New Roman" w:eastAsia="Times New Roman" w:hAnsi="Times New Roman" w:cs="Times New Roman"/>
          <w:sz w:val="24"/>
          <w:szCs w:val="24"/>
        </w:rPr>
      </w:pPr>
      <w:r w:rsidRPr="003B58CC">
        <w:rPr>
          <w:rFonts w:ascii="Open Sans" w:eastAsia="Times New Roman" w:hAnsi="Open Sans" w:cs="Open Sans"/>
          <w:noProof/>
          <w:color w:val="333333"/>
          <w:sz w:val="21"/>
          <w:szCs w:val="21"/>
        </w:rPr>
        <w:drawing>
          <wp:inline distT="0" distB="0" distL="0" distR="0" wp14:anchorId="1E9F86A8" wp14:editId="2ADB9C36">
            <wp:extent cx="5943600" cy="214757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47570"/>
                    </a:xfrm>
                    <a:prstGeom prst="rect">
                      <a:avLst/>
                    </a:prstGeom>
                    <a:noFill/>
                    <a:ln>
                      <a:noFill/>
                    </a:ln>
                  </pic:spPr>
                </pic:pic>
              </a:graphicData>
            </a:graphic>
          </wp:inline>
        </w:drawing>
      </w:r>
    </w:p>
    <w:p w14:paraId="1C4E6126" w14:textId="77777777" w:rsidR="00222787" w:rsidRDefault="00222787"/>
    <w:sectPr w:rsidR="0022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cs.digitellinc.com/acs/live/22/page/677/3?eventSearchInput=&amp;eventSearchDateTimeStart=&amp;eventSearchDateTimeEnd=&amp;eventSearchTrack%5b%5d=201" TargetMode="External"/><Relationship Id="rId4" Type="http://schemas.openxmlformats.org/officeDocument/2006/relationships/hyperlink" Target="https://acs.digitellinc.com/acs/live/22/page/677/3?eventSearchInput=&amp;eventSearchDateTimeStart=&amp;eventSearchDateTimeEnd=&amp;eventSearchTrack%5b%5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1</cp:revision>
  <dcterms:created xsi:type="dcterms:W3CDTF">2022-04-06T14:25:00Z</dcterms:created>
  <dcterms:modified xsi:type="dcterms:W3CDTF">2022-04-06T14:28:00Z</dcterms:modified>
</cp:coreProperties>
</file>